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24" w:rsidRPr="00822059" w:rsidRDefault="00503C24" w:rsidP="00503C24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822059">
        <w:rPr>
          <w:rFonts w:ascii="黑体" w:eastAsia="黑体" w:hAnsi="黑体" w:hint="eastAsia"/>
          <w:sz w:val="36"/>
          <w:szCs w:val="36"/>
        </w:rPr>
        <w:t>吉林省敦化林区基层法院</w:t>
      </w:r>
    </w:p>
    <w:p w:rsidR="00503C24" w:rsidRPr="00822059" w:rsidRDefault="00503C24" w:rsidP="00503C24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822059">
        <w:rPr>
          <w:rFonts w:ascii="黑体" w:eastAsia="黑体" w:hAnsi="黑体" w:hint="eastAsia"/>
          <w:sz w:val="36"/>
          <w:szCs w:val="36"/>
        </w:rPr>
        <w:t>刑事判决书</w:t>
      </w:r>
      <w:bookmarkStart w:id="0" w:name="_GoBack"/>
      <w:bookmarkEnd w:id="0"/>
    </w:p>
    <w:p w:rsidR="00503C24" w:rsidRDefault="00503C24" w:rsidP="00503C24">
      <w:pPr>
        <w:jc w:val="center"/>
      </w:pP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（2020）吉7504刑初95号</w:t>
      </w:r>
    </w:p>
    <w:p w:rsidR="00503C24" w:rsidRPr="00737223" w:rsidRDefault="00503C24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公诉机关吉林省敦化林区人民检察院。</w:t>
      </w:r>
    </w:p>
    <w:p w:rsidR="00503C24" w:rsidRPr="00737223" w:rsidRDefault="00503C24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被告人查立志，男，1948年7月28日生，汉族，吉林省敦化市人，文</w:t>
      </w:r>
      <w:r w:rsidR="00737223" w:rsidRPr="00737223">
        <w:rPr>
          <w:rFonts w:asciiTheme="minorEastAsia" w:hAnsiTheme="minorEastAsia" w:hint="eastAsia"/>
          <w:sz w:val="30"/>
          <w:szCs w:val="30"/>
        </w:rPr>
        <w:t>盲，退休工人，户籍所在地吉林省舒兰县，住吉林省敦化市</w:t>
      </w:r>
      <w:r w:rsidRPr="00737223">
        <w:rPr>
          <w:rFonts w:asciiTheme="minorEastAsia" w:hAnsiTheme="minorEastAsia" w:hint="eastAsia"/>
          <w:sz w:val="30"/>
          <w:szCs w:val="30"/>
        </w:rPr>
        <w:t>。因涉嫌犯诈骗罪，于2020年10月12日被敦化森林公安局刑事拘留，同年10月22日被取保候审。</w:t>
      </w:r>
    </w:p>
    <w:p w:rsidR="00503C24" w:rsidRPr="00737223" w:rsidRDefault="00503C24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吉林省敦化林区人民检察院以敦林检一部刑诉〔2020〕98号起诉书指控被告人查立志犯诈骗罪，于2020年12月18日向本院提起公诉，同时建议适用速裁程序审理。本院于同日受理后，依法适用速裁程序，实行独任审判，于2020年12月22日公开开庭审理了本案。吉林省敦化林区人民检察院指派检察员张永涛出庭支持公诉，被告人查立志到庭参加诉讼。现已审理终结。</w:t>
      </w:r>
    </w:p>
    <w:p w:rsidR="00503C24" w:rsidRPr="00737223" w:rsidRDefault="00503C24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吉林省敦化林区人民检察院指控，2020年9月22</w:t>
      </w:r>
      <w:r w:rsidR="00737223">
        <w:rPr>
          <w:rFonts w:asciiTheme="minorEastAsia" w:hAnsiTheme="minorEastAsia" w:hint="eastAsia"/>
          <w:sz w:val="30"/>
          <w:szCs w:val="30"/>
        </w:rPr>
        <w:t>日，被害人崔某</w:t>
      </w:r>
      <w:r w:rsidRPr="00737223">
        <w:rPr>
          <w:rFonts w:asciiTheme="minorEastAsia" w:hAnsiTheme="minorEastAsia" w:hint="eastAsia"/>
          <w:sz w:val="30"/>
          <w:szCs w:val="30"/>
        </w:rPr>
        <w:t>经他人介绍，到吉林省敦化市丹江街南山楼463</w:t>
      </w:r>
      <w:r w:rsidR="00737223">
        <w:rPr>
          <w:rFonts w:asciiTheme="minorEastAsia" w:hAnsiTheme="minorEastAsia" w:hint="eastAsia"/>
          <w:sz w:val="30"/>
          <w:szCs w:val="30"/>
        </w:rPr>
        <w:t>栋东侧第二户，即被告人查立志住处算命，查立志询问崔某姓名、年龄，且通过烧香、磨牙、请仙等行为后，谎称如果崔某</w:t>
      </w:r>
      <w:r w:rsidRPr="00737223">
        <w:rPr>
          <w:rFonts w:asciiTheme="minorEastAsia" w:hAnsiTheme="minorEastAsia" w:hint="eastAsia"/>
          <w:sz w:val="30"/>
          <w:szCs w:val="30"/>
        </w:rPr>
        <w:t>买查立志的铜钱挂件并按其要求佩戴便可清除崔佳林身上的“黄仙</w:t>
      </w:r>
      <w:r w:rsidR="00737223">
        <w:rPr>
          <w:rFonts w:asciiTheme="minorEastAsia" w:hAnsiTheme="minorEastAsia" w:hint="eastAsia"/>
          <w:sz w:val="30"/>
          <w:szCs w:val="30"/>
        </w:rPr>
        <w:t>”以保命，并要求崔某</w:t>
      </w:r>
      <w:r w:rsidRPr="00737223">
        <w:rPr>
          <w:rFonts w:asciiTheme="minorEastAsia" w:hAnsiTheme="minorEastAsia" w:hint="eastAsia"/>
          <w:sz w:val="30"/>
          <w:szCs w:val="30"/>
        </w:rPr>
        <w:t>支付人民币2800元，崔佳林以支付宝转账形式向查立志支付人民币2800元，并支付现金人民币50元算命费。</w:t>
      </w:r>
    </w:p>
    <w:p w:rsidR="00503C24" w:rsidRPr="00737223" w:rsidRDefault="00503C24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2020年9月23</w:t>
      </w:r>
      <w:r w:rsidR="00737223">
        <w:rPr>
          <w:rFonts w:asciiTheme="minorEastAsia" w:hAnsiTheme="minorEastAsia" w:hint="eastAsia"/>
          <w:sz w:val="30"/>
          <w:szCs w:val="30"/>
        </w:rPr>
        <w:t>日，被害人崔某</w:t>
      </w:r>
      <w:r w:rsidRPr="00737223">
        <w:rPr>
          <w:rFonts w:asciiTheme="minorEastAsia" w:hAnsiTheme="minorEastAsia" w:hint="eastAsia"/>
          <w:sz w:val="30"/>
          <w:szCs w:val="30"/>
        </w:rPr>
        <w:t>再次到吉林省敦化市丹江街南山楼463栋东侧第二户，即被告人</w:t>
      </w:r>
      <w:r w:rsidR="00737223">
        <w:rPr>
          <w:rFonts w:asciiTheme="minorEastAsia" w:hAnsiTheme="minorEastAsia" w:hint="eastAsia"/>
          <w:sz w:val="30"/>
          <w:szCs w:val="30"/>
        </w:rPr>
        <w:t>查立志住处算命，查立志又烧香、磨牙、请仙后，谎称有人要加害崔某父亲性命，并以化解灾难为由，需崔某</w:t>
      </w:r>
      <w:r w:rsidRPr="00737223">
        <w:rPr>
          <w:rFonts w:asciiTheme="minorEastAsia" w:hAnsiTheme="minorEastAsia" w:hint="eastAsia"/>
          <w:sz w:val="30"/>
          <w:szCs w:val="30"/>
        </w:rPr>
        <w:t>为其父亲花人民币4200</w:t>
      </w:r>
      <w:r w:rsidR="00737223">
        <w:rPr>
          <w:rFonts w:asciiTheme="minorEastAsia" w:hAnsiTheme="minorEastAsia" w:hint="eastAsia"/>
          <w:sz w:val="30"/>
          <w:szCs w:val="30"/>
        </w:rPr>
        <w:t>元“买寿”（延长寿命），崔某</w:t>
      </w:r>
      <w:r w:rsidRPr="00737223">
        <w:rPr>
          <w:rFonts w:asciiTheme="minorEastAsia" w:hAnsiTheme="minorEastAsia" w:hint="eastAsia"/>
          <w:sz w:val="30"/>
          <w:szCs w:val="30"/>
        </w:rPr>
        <w:t>以支付宝转账形式向查立志支付人民币4200元，并支付现</w:t>
      </w:r>
      <w:r w:rsidRPr="00737223">
        <w:rPr>
          <w:rFonts w:asciiTheme="minorEastAsia" w:hAnsiTheme="minorEastAsia" w:hint="eastAsia"/>
          <w:sz w:val="30"/>
          <w:szCs w:val="30"/>
        </w:rPr>
        <w:lastRenderedPageBreak/>
        <w:t>金人民币50元算命费。</w:t>
      </w:r>
    </w:p>
    <w:p w:rsidR="00503C24" w:rsidRPr="00737223" w:rsidRDefault="00737223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案发后，被告人查立志亲属主动退赔给被害人崔某</w:t>
      </w:r>
      <w:r w:rsidR="00503C24" w:rsidRPr="00737223">
        <w:rPr>
          <w:rFonts w:asciiTheme="minorEastAsia" w:hAnsiTheme="minorEastAsia" w:hint="eastAsia"/>
          <w:sz w:val="30"/>
          <w:szCs w:val="30"/>
        </w:rPr>
        <w:t>共计人民币7100元。</w:t>
      </w:r>
    </w:p>
    <w:p w:rsidR="00503C24" w:rsidRPr="00737223" w:rsidRDefault="00503C24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公诉机关认为，被告人查立志的行为已构成诈骗罪，应当依法追究其刑事责任。建议判处拘役六个月，缓刑六个月，并处罚金人民币5 000.00元。</w:t>
      </w:r>
    </w:p>
    <w:p w:rsidR="00503C24" w:rsidRPr="00737223" w:rsidRDefault="00503C24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被告人查立志对公诉机关指控的事实、罪名及量刑建议没有异议，同意适用速裁程序，且签字具结，在开庭审理过程中亦无异议。</w:t>
      </w:r>
    </w:p>
    <w:p w:rsidR="00503C24" w:rsidRPr="00737223" w:rsidRDefault="00503C24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本院认为，被告人查立志以非法占有为目的，利用封建迷信、虚构事实，诈骗他人财物，数额较大，其行为已构成诈骗罪，公诉机关指控的事实和罪名成立。被告人查立志归案后如实供述自己的犯罪事实，自愿认罪认罚，并签署认罪认罚具结书，可依法从宽处理；鉴于被告人归案后将赃款主动退还给被害人，挽回了被害人损失，可酌情从轻处罚。综上，公诉机关提出的量刑建议适当，应予采纳。依照《中华人民共和国刑法》第二百六十六条、第七十二条第一、三款、第七十三条第一、三款、第五十二条、第五十三条及《中华人民共和国刑事诉讼法》第十五条、第二百零一条之规定，判决如下：</w:t>
      </w:r>
    </w:p>
    <w:p w:rsidR="00503C24" w:rsidRPr="00737223" w:rsidRDefault="00503C24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被告人查立志犯诈骗罪，判处拘役六个月，缓刑六个月，并处罚金人民币5 000.00元。</w:t>
      </w:r>
    </w:p>
    <w:p w:rsidR="00503C24" w:rsidRPr="00737223" w:rsidRDefault="00503C24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（缓刑考验期限，从判决确定之日起计算）。</w:t>
      </w:r>
    </w:p>
    <w:p w:rsidR="00503C24" w:rsidRPr="00737223" w:rsidRDefault="00503C24" w:rsidP="00737223">
      <w:pPr>
        <w:spacing w:line="5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如不服本判决，可在接到判决书的第二日起十日内，通过本院或者直接向吉林省延边林区中级法院提出上诉。书面上诉的应提交上诉状正本一份，副本二份。</w:t>
      </w:r>
    </w:p>
    <w:p w:rsidR="00503C24" w:rsidRPr="00737223" w:rsidRDefault="00503C24" w:rsidP="00737223">
      <w:pPr>
        <w:spacing w:line="500" w:lineRule="exact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p w:rsidR="00737223" w:rsidRDefault="00737223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p w:rsidR="00737223" w:rsidRDefault="00737223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p w:rsidR="00737223" w:rsidRDefault="00737223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审  判  员   李 忠 霞</w:t>
      </w: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>二〇二〇年十二月二十二日</w:t>
      </w: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ind w:right="640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  <w:r w:rsidRPr="00737223">
        <w:rPr>
          <w:rFonts w:asciiTheme="minorEastAsia" w:hAnsiTheme="minorEastAsia" w:hint="eastAsia"/>
          <w:sz w:val="30"/>
          <w:szCs w:val="30"/>
        </w:rPr>
        <w:t xml:space="preserve"> 书  记  员   段   冶 </w:t>
      </w:r>
    </w:p>
    <w:p w:rsidR="00503C24" w:rsidRPr="00737223" w:rsidRDefault="00503C24" w:rsidP="00737223">
      <w:pPr>
        <w:spacing w:line="500" w:lineRule="exact"/>
        <w:rPr>
          <w:rFonts w:asciiTheme="minorEastAsia" w:hAnsiTheme="minorEastAsia"/>
          <w:sz w:val="30"/>
          <w:szCs w:val="30"/>
        </w:rPr>
      </w:pPr>
    </w:p>
    <w:p w:rsidR="00503C24" w:rsidRPr="00737223" w:rsidRDefault="00503C24" w:rsidP="00737223">
      <w:pPr>
        <w:spacing w:line="500" w:lineRule="exact"/>
        <w:rPr>
          <w:rFonts w:asciiTheme="minorEastAsia" w:hAnsiTheme="minorEastAsia"/>
          <w:sz w:val="30"/>
          <w:szCs w:val="30"/>
        </w:rPr>
      </w:pPr>
    </w:p>
    <w:p w:rsidR="00243588" w:rsidRPr="00737223" w:rsidRDefault="00243588" w:rsidP="00737223">
      <w:pPr>
        <w:spacing w:line="500" w:lineRule="exact"/>
        <w:rPr>
          <w:rFonts w:asciiTheme="minorEastAsia" w:hAnsiTheme="minorEastAsia"/>
          <w:sz w:val="30"/>
          <w:szCs w:val="30"/>
        </w:rPr>
      </w:pPr>
    </w:p>
    <w:sectPr w:rsidR="00243588" w:rsidRPr="00737223" w:rsidSect="00F430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93" w:rsidRDefault="00592593">
      <w:r>
        <w:separator/>
      </w:r>
    </w:p>
  </w:endnote>
  <w:endnote w:type="continuationSeparator" w:id="0">
    <w:p w:rsidR="00592593" w:rsidRDefault="005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994"/>
      <w:docPartObj>
        <w:docPartGallery w:val="Page Numbers (Bottom of Page)"/>
        <w:docPartUnique/>
      </w:docPartObj>
    </w:sdtPr>
    <w:sdtEndPr/>
    <w:sdtContent>
      <w:p w:rsidR="005B143A" w:rsidRDefault="00503C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059" w:rsidRPr="00822059">
          <w:rPr>
            <w:noProof/>
            <w:lang w:val="zh-CN"/>
          </w:rPr>
          <w:t>1</w:t>
        </w:r>
        <w:r>
          <w:fldChar w:fldCharType="end"/>
        </w:r>
      </w:p>
    </w:sdtContent>
  </w:sdt>
  <w:p w:rsidR="005B143A" w:rsidRDefault="005925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93" w:rsidRDefault="00592593">
      <w:r>
        <w:separator/>
      </w:r>
    </w:p>
  </w:footnote>
  <w:footnote w:type="continuationSeparator" w:id="0">
    <w:p w:rsidR="00592593" w:rsidRDefault="0059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C2"/>
    <w:rsid w:val="00243588"/>
    <w:rsid w:val="002E1A44"/>
    <w:rsid w:val="00503C24"/>
    <w:rsid w:val="00592593"/>
    <w:rsid w:val="00737223"/>
    <w:rsid w:val="00822059"/>
    <w:rsid w:val="009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3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3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2021-01-19T01:32:00Z</dcterms:created>
  <dcterms:modified xsi:type="dcterms:W3CDTF">2021-01-19T01:41:00Z</dcterms:modified>
</cp:coreProperties>
</file>