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32" w:rsidRDefault="00955132" w:rsidP="00955132">
      <w:pPr>
        <w:spacing w:line="700" w:lineRule="exact"/>
        <w:jc w:val="center"/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敦化林区基层法院</w:t>
      </w:r>
      <w:bookmarkEnd w:id="0"/>
    </w:p>
    <w:p w:rsidR="00955132" w:rsidRDefault="00955132" w:rsidP="00955132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2020年三季度态势分析报告</w:t>
      </w:r>
    </w:p>
    <w:p w:rsidR="00955132" w:rsidRDefault="00955132" w:rsidP="00955132">
      <w:pPr>
        <w:spacing w:line="570" w:lineRule="exact"/>
        <w:rPr>
          <w:rFonts w:ascii="仿宋_GB2312" w:eastAsia="仿宋_GB2312" w:hint="eastAsia"/>
          <w:b/>
          <w:sz w:val="32"/>
          <w:szCs w:val="32"/>
        </w:rPr>
      </w:pPr>
    </w:p>
    <w:p w:rsidR="00955132" w:rsidRDefault="00955132" w:rsidP="00955132">
      <w:pPr>
        <w:spacing w:line="57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截至9月27日，全院受理各类案件572件。其中：旧存53件，新收519件，审、执结案550件。结案率96.15%，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结收比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105.97%；人均受案38.13件，人均结案36.67件。</w:t>
      </w:r>
    </w:p>
    <w:p w:rsidR="00955132" w:rsidRDefault="00955132" w:rsidP="00955132">
      <w:pPr>
        <w:spacing w:line="57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955132" w:rsidRDefault="00955132" w:rsidP="00955132">
      <w:pPr>
        <w:ind w:firstLineChars="200" w:firstLine="42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5527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5132" w:rsidRDefault="00955132" w:rsidP="00955132">
      <w:pPr>
        <w:spacing w:line="570" w:lineRule="exact"/>
        <w:ind w:firstLine="640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一、审判执行基础数据情况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（一）诉讼案件情况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截至9月27日，受理诉讼案件348件。其中：旧存37件，新收311件；审结332件，结案率95.40%，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结收比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106.75%。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刑事案件受案82件。其中：旧存3件，新收79件；审结79件，结案率96.34%。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民事案件受案253件。其中：旧存34件，新收219件；审结240件，结案率94.86%。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行政案件受案7件，均为新收案件，现已全部审结，结案率100%。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非诉保全审查案件受案6件，均为新收案件，现已全部审结，结案率100%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（二）执行案件情况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截至9月27日，受理执行案件224件。其中：旧存16件，新收208件；执结218件，执结率97.32%，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结收比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104.81%。新收案件中，首次执行案件151件，执结159件；恢复执行41件，执结42件；执行保全案件16件，执结17件。</w:t>
      </w:r>
    </w:p>
    <w:p w:rsidR="00955132" w:rsidRDefault="00955132" w:rsidP="00955132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首次执行案件中，实际到位率26.6%，执行完毕率41.72%，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终本率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26.38%，法定期限内结案率95.6%，结案平均用时61.5天。恢复案件执行完毕率47.73%。</w:t>
      </w:r>
    </w:p>
    <w:p w:rsidR="00955132" w:rsidRDefault="00955132" w:rsidP="00955132">
      <w:pPr>
        <w:rPr>
          <w:rFonts w:ascii="仿宋_GB2312" w:eastAsia="仿宋_GB2312" w:hAnsi="仿宋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501640" cy="3215640"/>
            <wp:effectExtent l="0" t="0" r="3810" b="381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b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截至9月27日全院诉讼案件新收311件，同比减少55件，降幅15.03%；执行案件新收208件，同比增加55件，增幅35.95%；审执案件共计新收519件，同比持平。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t>新收案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lastRenderedPageBreak/>
        <w:t>件同比下降5%的绩效指标，我院暂未达标。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二、审判质效情况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1、结案率</w:t>
      </w:r>
      <w:r>
        <w:rPr>
          <w:rFonts w:ascii="仿宋_GB2312" w:eastAsia="仿宋_GB2312" w:hAnsi="仿宋" w:hint="eastAsia"/>
          <w:sz w:val="32"/>
          <w:szCs w:val="32"/>
        </w:rPr>
        <w:t>按季度进行考核，三季度指标值（86%）全院96.15%。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2、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结收比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按季度进行考核，三季度指标值（95%）全院105.97%。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3、旧存（未结）案件占比指标</w:t>
      </w:r>
      <w:r>
        <w:rPr>
          <w:rFonts w:ascii="仿宋_GB2312" w:eastAsia="仿宋_GB2312" w:hAnsi="仿宋" w:hint="eastAsia"/>
          <w:sz w:val="32"/>
          <w:szCs w:val="32"/>
        </w:rPr>
        <w:t>，全院0.17%。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4、一审案件简易程序适用率</w:t>
      </w:r>
      <w:r>
        <w:rPr>
          <w:rFonts w:ascii="仿宋_GB2312" w:eastAsia="仿宋_GB2312" w:hAnsi="仿宋" w:hint="eastAsia"/>
          <w:sz w:val="32"/>
          <w:szCs w:val="32"/>
        </w:rPr>
        <w:t>年度指标值（82%），三季度</w:t>
      </w:r>
      <w:r>
        <w:rPr>
          <w:rFonts w:ascii="仿宋_GB2312" w:eastAsia="仿宋_GB2312" w:hAnsi="仿宋" w:hint="eastAsia"/>
          <w:b/>
          <w:color w:val="FF0000"/>
          <w:sz w:val="32"/>
          <w:szCs w:val="32"/>
          <w:u w:val="single"/>
        </w:rPr>
        <w:t>全院82.24%【该项指标位列全州末位】</w:t>
      </w:r>
      <w:r>
        <w:rPr>
          <w:rFonts w:ascii="仿宋_GB2312" w:eastAsia="仿宋_GB2312" w:hAnsi="仿宋" w:hint="eastAsia"/>
          <w:sz w:val="32"/>
          <w:szCs w:val="32"/>
          <w:u w:val="single"/>
        </w:rPr>
        <w:t>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5、诉讼案件平均审理天数</w:t>
      </w:r>
      <w:r>
        <w:rPr>
          <w:rFonts w:ascii="仿宋_GB2312" w:eastAsia="仿宋_GB2312" w:hAnsi="仿宋" w:hint="eastAsia"/>
          <w:sz w:val="32"/>
          <w:szCs w:val="32"/>
        </w:rPr>
        <w:t>指标（全省均值30.3天），三季度全院35.1天。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6、上诉案件平均移送天数</w:t>
      </w:r>
      <w:r>
        <w:rPr>
          <w:rFonts w:ascii="仿宋_GB2312" w:eastAsia="仿宋_GB2312" w:hAnsi="仿宋" w:hint="eastAsia"/>
          <w:sz w:val="32"/>
          <w:szCs w:val="32"/>
        </w:rPr>
        <w:t>指标（全省均值86.48天），三季度</w:t>
      </w:r>
      <w:r>
        <w:rPr>
          <w:rFonts w:ascii="仿宋_GB2312" w:eastAsia="仿宋_GB2312" w:hAnsi="仿宋" w:hint="eastAsia"/>
          <w:b/>
          <w:color w:val="5B9BD5" w:themeColor="accent1"/>
          <w:sz w:val="32"/>
          <w:szCs w:val="32"/>
        </w:rPr>
        <w:t>全院35.52天【该项指标位列全州首位】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7、人均结案数</w:t>
      </w:r>
      <w:r>
        <w:rPr>
          <w:rFonts w:ascii="仿宋_GB2312" w:eastAsia="仿宋_GB2312" w:hAnsi="仿宋" w:hint="eastAsia"/>
          <w:sz w:val="32"/>
          <w:szCs w:val="32"/>
        </w:rPr>
        <w:t>指标（全省均值102.78件），三季度全院36.67件。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8、一审案件服判息诉率</w:t>
      </w:r>
      <w:r>
        <w:rPr>
          <w:rFonts w:ascii="仿宋_GB2312" w:eastAsia="仿宋_GB2312" w:hAnsi="仿宋" w:hint="eastAsia"/>
          <w:sz w:val="32"/>
          <w:szCs w:val="32"/>
        </w:rPr>
        <w:t>指标年度指标值（95%），三季度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t>全院93.46%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9、一审案件上诉被改判、发回重审率</w:t>
      </w:r>
      <w:r>
        <w:rPr>
          <w:rFonts w:ascii="仿宋_GB2312" w:eastAsia="仿宋_GB2312" w:hAnsi="仿宋" w:hint="eastAsia"/>
          <w:sz w:val="32"/>
          <w:szCs w:val="32"/>
        </w:rPr>
        <w:t>年度指标值（2%），三季度全院1.87%。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10、生效案件申请再审、申诉率</w:t>
      </w:r>
      <w:r>
        <w:rPr>
          <w:rFonts w:ascii="仿宋_GB2312" w:eastAsia="仿宋_GB2312" w:hAnsi="仿宋" w:hint="eastAsia"/>
          <w:sz w:val="32"/>
          <w:szCs w:val="32"/>
        </w:rPr>
        <w:t>年度指标值（2.5%），三季度全院0.98%。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11、生效案件再审被改判、发回重审率</w:t>
      </w:r>
      <w:r>
        <w:rPr>
          <w:rFonts w:ascii="仿宋_GB2312" w:eastAsia="仿宋_GB2312" w:hAnsi="仿宋" w:hint="eastAsia"/>
          <w:sz w:val="32"/>
          <w:szCs w:val="32"/>
        </w:rPr>
        <w:t>年度指标值（0.16%）截至9月27日，全院无此类案件，基础占比为0%。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12、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调撤率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指标（全省均值42.97%），三季度全院46.08%。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三、司法公开情况</w:t>
      </w:r>
    </w:p>
    <w:p w:rsidR="00955132" w:rsidRDefault="00955132" w:rsidP="00955132">
      <w:pPr>
        <w:spacing w:line="570" w:lineRule="exact"/>
        <w:ind w:firstLine="641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（一）裁判文书公开情况</w:t>
      </w:r>
    </w:p>
    <w:p w:rsidR="00955132" w:rsidRDefault="00955132" w:rsidP="00955132">
      <w:pPr>
        <w:spacing w:afterLines="50" w:after="156" w:line="57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裁判文书上网率分为上半年、年度两次考核，考核指标值均为（80%）。截至</w:t>
      </w:r>
      <w:r>
        <w:rPr>
          <w:rFonts w:ascii="仿宋" w:eastAsia="仿宋" w:hAnsi="仿宋" w:hint="eastAsia"/>
          <w:sz w:val="32"/>
          <w:szCs w:val="32"/>
        </w:rPr>
        <w:t>目前，通过中国裁判</w:t>
      </w:r>
      <w:proofErr w:type="gramStart"/>
      <w:r>
        <w:rPr>
          <w:rFonts w:ascii="仿宋" w:eastAsia="仿宋" w:hAnsi="仿宋" w:hint="eastAsia"/>
          <w:sz w:val="32"/>
          <w:szCs w:val="32"/>
        </w:rPr>
        <w:t>文书网</w:t>
      </w:r>
      <w:proofErr w:type="gramEnd"/>
      <w:r>
        <w:rPr>
          <w:rFonts w:ascii="仿宋" w:eastAsia="仿宋" w:hAnsi="仿宋" w:hint="eastAsia"/>
          <w:sz w:val="32"/>
          <w:szCs w:val="32"/>
        </w:rPr>
        <w:t>累计上传裁判文书</w:t>
      </w:r>
      <w:r>
        <w:rPr>
          <w:rFonts w:ascii="仿宋_GB2312" w:eastAsia="仿宋_GB2312" w:hAnsi="仿宋" w:hint="eastAsia"/>
          <w:sz w:val="32"/>
          <w:szCs w:val="32"/>
        </w:rPr>
        <w:t>479</w:t>
      </w:r>
      <w:r>
        <w:rPr>
          <w:rFonts w:ascii="仿宋" w:eastAsia="仿宋" w:hAnsi="仿宋" w:hint="eastAsia"/>
          <w:sz w:val="32"/>
          <w:szCs w:val="32"/>
        </w:rPr>
        <w:t>篇，其中：上网文书</w:t>
      </w:r>
      <w:r>
        <w:rPr>
          <w:rFonts w:ascii="仿宋_GB2312" w:eastAsia="仿宋_GB2312" w:hAnsi="仿宋" w:hint="eastAsia"/>
          <w:sz w:val="32"/>
          <w:szCs w:val="32"/>
        </w:rPr>
        <w:t>391</w:t>
      </w:r>
      <w:r>
        <w:rPr>
          <w:rFonts w:ascii="仿宋" w:eastAsia="仿宋" w:hAnsi="仿宋" w:hint="eastAsia"/>
          <w:sz w:val="32"/>
          <w:szCs w:val="32"/>
        </w:rPr>
        <w:t>篇，经审批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上网文书</w:t>
      </w:r>
      <w:r>
        <w:rPr>
          <w:rFonts w:ascii="仿宋_GB2312" w:eastAsia="仿宋_GB2312" w:hAnsi="仿宋" w:hint="eastAsia"/>
          <w:sz w:val="32"/>
          <w:szCs w:val="32"/>
        </w:rPr>
        <w:t>88</w:t>
      </w:r>
      <w:r>
        <w:rPr>
          <w:rFonts w:ascii="仿宋" w:eastAsia="仿宋" w:hAnsi="仿宋" w:hint="eastAsia"/>
          <w:sz w:val="32"/>
          <w:szCs w:val="32"/>
        </w:rPr>
        <w:t>篇，上网率为</w:t>
      </w:r>
      <w:r>
        <w:rPr>
          <w:rFonts w:ascii="仿宋_GB2312" w:eastAsia="仿宋_GB2312" w:hAnsi="仿宋" w:hint="eastAsia"/>
          <w:sz w:val="32"/>
          <w:szCs w:val="32"/>
        </w:rPr>
        <w:t>87.09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（二）庭审直播情况指标（35%）</w:t>
      </w:r>
    </w:p>
    <w:p w:rsidR="00955132" w:rsidRDefault="00955132" w:rsidP="00955132">
      <w:pPr>
        <w:spacing w:beforeLines="50" w:before="156" w:line="57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_GB2312" w:eastAsia="仿宋_GB2312" w:hAnsi="仿宋" w:hint="eastAsia"/>
          <w:sz w:val="32"/>
          <w:szCs w:val="32"/>
        </w:rPr>
        <w:t>9月27日</w:t>
      </w:r>
      <w:r>
        <w:rPr>
          <w:rFonts w:ascii="仿宋" w:eastAsia="仿宋" w:hAnsi="仿宋" w:hint="eastAsia"/>
          <w:sz w:val="32"/>
          <w:szCs w:val="32"/>
        </w:rPr>
        <w:t>，全院共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位法官使用庭审直播，直播案件数</w:t>
      </w:r>
      <w:r>
        <w:rPr>
          <w:rFonts w:ascii="仿宋_GB2312" w:eastAsia="仿宋_GB2312" w:hAnsi="仿宋" w:hint="eastAsia"/>
          <w:sz w:val="32"/>
          <w:szCs w:val="32"/>
        </w:rPr>
        <w:t>65</w:t>
      </w:r>
      <w:r>
        <w:rPr>
          <w:rFonts w:ascii="仿宋" w:eastAsia="仿宋" w:hAnsi="仿宋" w:hint="eastAsia"/>
          <w:sz w:val="32"/>
          <w:szCs w:val="32"/>
        </w:rPr>
        <w:t>件，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庭审直播率为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t>18.68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（三）审判流程信息公开情况指标</w:t>
      </w:r>
    </w:p>
    <w:p w:rsidR="00955132" w:rsidRDefault="00955132" w:rsidP="00955132">
      <w:pPr>
        <w:spacing w:line="570" w:lineRule="exact"/>
        <w:ind w:firstLine="636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_GB2312" w:eastAsia="仿宋_GB2312" w:hAnsi="仿宋" w:hint="eastAsia"/>
          <w:sz w:val="32"/>
          <w:szCs w:val="32"/>
        </w:rPr>
        <w:t>9月27日</w:t>
      </w:r>
      <w:r>
        <w:rPr>
          <w:rFonts w:ascii="仿宋" w:eastAsia="仿宋" w:hAnsi="仿宋" w:hint="eastAsia"/>
          <w:sz w:val="32"/>
          <w:szCs w:val="32"/>
        </w:rPr>
        <w:t>，应公开案件</w:t>
      </w:r>
      <w:r>
        <w:rPr>
          <w:rFonts w:ascii="仿宋_GB2312" w:eastAsia="仿宋_GB2312" w:hAnsi="仿宋" w:hint="eastAsia"/>
          <w:sz w:val="32"/>
          <w:szCs w:val="32"/>
        </w:rPr>
        <w:t>298</w:t>
      </w:r>
      <w:r>
        <w:rPr>
          <w:rFonts w:ascii="仿宋" w:eastAsia="仿宋" w:hAnsi="仿宋" w:hint="eastAsia"/>
          <w:sz w:val="32"/>
          <w:szCs w:val="32"/>
        </w:rPr>
        <w:t>件，已公开</w:t>
      </w:r>
      <w:r>
        <w:rPr>
          <w:rFonts w:ascii="仿宋_GB2312" w:eastAsia="仿宋_GB2312" w:hAnsi="仿宋" w:hint="eastAsia"/>
          <w:sz w:val="32"/>
          <w:szCs w:val="32"/>
        </w:rPr>
        <w:t>298</w:t>
      </w:r>
      <w:r>
        <w:rPr>
          <w:rFonts w:ascii="仿宋" w:eastAsia="仿宋" w:hAnsi="仿宋" w:hint="eastAsia"/>
          <w:sz w:val="32"/>
          <w:szCs w:val="32"/>
        </w:rPr>
        <w:t>件，公开率100%；有效公开案件</w:t>
      </w:r>
      <w:r>
        <w:rPr>
          <w:rFonts w:ascii="仿宋_GB2312" w:eastAsia="仿宋_GB2312" w:hAnsi="仿宋" w:hint="eastAsia"/>
          <w:sz w:val="32"/>
          <w:szCs w:val="32"/>
        </w:rPr>
        <w:t>293</w:t>
      </w:r>
      <w:r>
        <w:rPr>
          <w:rFonts w:ascii="仿宋" w:eastAsia="仿宋" w:hAnsi="仿宋" w:hint="eastAsia"/>
          <w:sz w:val="32"/>
          <w:szCs w:val="32"/>
        </w:rPr>
        <w:t>件，有效公开率</w:t>
      </w:r>
      <w:r>
        <w:rPr>
          <w:rFonts w:ascii="仿宋_GB2312" w:eastAsia="仿宋_GB2312" w:hAnsi="仿宋" w:hint="eastAsia"/>
          <w:sz w:val="32"/>
          <w:szCs w:val="32"/>
        </w:rPr>
        <w:t>98.32</w:t>
      </w:r>
      <w:r>
        <w:rPr>
          <w:rFonts w:ascii="仿宋" w:eastAsia="仿宋" w:hAnsi="仿宋" w:hint="eastAsia"/>
          <w:sz w:val="32"/>
          <w:szCs w:val="32"/>
        </w:rPr>
        <w:t>%。成功发送电子送达案件数</w:t>
      </w:r>
      <w:r>
        <w:rPr>
          <w:rFonts w:ascii="仿宋_GB2312" w:eastAsia="仿宋_GB2312" w:hAnsi="仿宋" w:hint="eastAsia"/>
          <w:sz w:val="32"/>
          <w:szCs w:val="32"/>
        </w:rPr>
        <w:t>385</w:t>
      </w:r>
      <w:r>
        <w:rPr>
          <w:rFonts w:ascii="仿宋" w:eastAsia="仿宋" w:hAnsi="仿宋" w:hint="eastAsia"/>
          <w:sz w:val="32"/>
          <w:szCs w:val="32"/>
        </w:rPr>
        <w:t>件，电子送达率</w:t>
      </w:r>
      <w:r>
        <w:rPr>
          <w:rFonts w:ascii="仿宋_GB2312" w:eastAsia="仿宋_GB2312" w:hAnsi="仿宋" w:hint="eastAsia"/>
          <w:sz w:val="32"/>
          <w:szCs w:val="32"/>
        </w:rPr>
        <w:t>129.19</w:t>
      </w:r>
      <w:r>
        <w:rPr>
          <w:rFonts w:ascii="仿宋" w:eastAsia="仿宋" w:hAnsi="仿宋" w:hint="eastAsia"/>
          <w:sz w:val="32"/>
          <w:szCs w:val="32"/>
        </w:rPr>
        <w:t>%；公开文书</w:t>
      </w:r>
      <w:r>
        <w:rPr>
          <w:rFonts w:ascii="仿宋_GB2312" w:eastAsia="仿宋_GB2312" w:hAnsi="仿宋" w:hint="eastAsia"/>
          <w:sz w:val="32"/>
          <w:szCs w:val="32"/>
        </w:rPr>
        <w:t>114</w:t>
      </w:r>
      <w:r>
        <w:rPr>
          <w:rFonts w:ascii="仿宋" w:eastAsia="仿宋" w:hAnsi="仿宋" w:hint="eastAsia"/>
          <w:sz w:val="32"/>
          <w:szCs w:val="32"/>
        </w:rPr>
        <w:t>篇，文书公开率</w:t>
      </w:r>
      <w:r>
        <w:rPr>
          <w:rFonts w:ascii="仿宋_GB2312" w:eastAsia="仿宋_GB2312" w:hAnsi="仿宋" w:hint="eastAsia"/>
          <w:sz w:val="32"/>
          <w:szCs w:val="32"/>
        </w:rPr>
        <w:t>38.26</w:t>
      </w:r>
      <w:r>
        <w:rPr>
          <w:rFonts w:ascii="仿宋" w:eastAsia="仿宋" w:hAnsi="仿宋" w:hint="eastAsia"/>
          <w:sz w:val="32"/>
          <w:szCs w:val="32"/>
        </w:rPr>
        <w:t>%。上述指标均已达标。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四、智慧法院建设与应用情况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（一）电子法院网上诉讼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1、网上立案指标（50%）。</w:t>
      </w:r>
      <w:r>
        <w:rPr>
          <w:rFonts w:ascii="仿宋_GB2312" w:eastAsia="仿宋_GB2312" w:hAnsi="仿宋" w:hint="eastAsia"/>
          <w:sz w:val="32"/>
          <w:szCs w:val="32"/>
        </w:rPr>
        <w:t>全院民事、行政一审案件网上立案171件，网上立案率76%。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2、网上证据交换率指标（5%）。</w:t>
      </w:r>
      <w:r>
        <w:rPr>
          <w:rFonts w:ascii="仿宋_GB2312" w:eastAsia="仿宋_GB2312" w:hAnsi="仿宋" w:hint="eastAsia"/>
          <w:sz w:val="32"/>
          <w:szCs w:val="32"/>
        </w:rPr>
        <w:t>全院开展网上证据交换9件，网上证据交换率5.26%。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3、网上开庭率（5%）。</w:t>
      </w:r>
      <w:r>
        <w:rPr>
          <w:rFonts w:ascii="仿宋_GB2312" w:eastAsia="仿宋_GB2312" w:hAnsi="仿宋" w:hint="eastAsia"/>
          <w:sz w:val="32"/>
          <w:szCs w:val="32"/>
        </w:rPr>
        <w:t>目前全院暂无网上开庭案件，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t>网上开庭率0%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4、电子送达使用率（30%）。</w:t>
      </w:r>
      <w:r>
        <w:rPr>
          <w:rFonts w:ascii="仿宋_GB2312" w:eastAsia="仿宋_GB2312" w:hAnsi="仿宋" w:hint="eastAsia"/>
          <w:sz w:val="32"/>
          <w:szCs w:val="32"/>
        </w:rPr>
        <w:t>三季度全院电子送达率129.19%。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5、网上交费率（5%）。</w:t>
      </w:r>
      <w:r>
        <w:rPr>
          <w:rFonts w:ascii="仿宋_GB2312" w:eastAsia="仿宋_GB2312" w:hAnsi="仿宋" w:hint="eastAsia"/>
          <w:sz w:val="32"/>
          <w:szCs w:val="32"/>
        </w:rPr>
        <w:t>三季度全院网上缴费案件40件，网上交费率23.39%。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（二）电子卷宗与随案生成及深度应用情况（占比基数为受理诉讼案件数，不含归档率）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1、电子卷宗与随案生成应用比</w:t>
      </w:r>
      <w:r>
        <w:rPr>
          <w:rFonts w:ascii="仿宋_GB2312" w:eastAsia="仿宋_GB2312" w:hAnsi="仿宋" w:hint="eastAsia"/>
          <w:sz w:val="32"/>
          <w:szCs w:val="32"/>
        </w:rPr>
        <w:t>指标（100%）。全院电子卷宗随案生成347卷，投入应用比99.71%。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2、电子卷宗智能编目投入应用比</w:t>
      </w:r>
      <w:r>
        <w:rPr>
          <w:rFonts w:ascii="仿宋_GB2312" w:eastAsia="仿宋_GB2312" w:hAnsi="仿宋" w:hint="eastAsia"/>
          <w:sz w:val="32"/>
          <w:szCs w:val="32"/>
        </w:rPr>
        <w:t>指标（100%）。全院使用智能编目案件数172件，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t>电子卷宗智能编目投入应用比49.43%。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3、电子卷宗网上阅卷投入应用比</w:t>
      </w:r>
      <w:r>
        <w:rPr>
          <w:rFonts w:ascii="仿宋_GB2312" w:eastAsia="仿宋_GB2312" w:hAnsi="仿宋" w:hint="eastAsia"/>
          <w:sz w:val="32"/>
          <w:szCs w:val="32"/>
        </w:rPr>
        <w:t>指标（100%）。全院使用网上阅卷案件数298件，</w:t>
      </w:r>
      <w:r>
        <w:rPr>
          <w:rFonts w:ascii="仿宋_GB2312" w:eastAsia="仿宋_GB2312" w:hAnsi="仿宋" w:hint="eastAsia"/>
          <w:b/>
          <w:color w:val="FF0000"/>
          <w:sz w:val="32"/>
          <w:szCs w:val="32"/>
        </w:rPr>
        <w:t>电子卷宗网上阅卷投入应用比85.63%。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4、电子卷宗自动归档投入应用比</w:t>
      </w:r>
      <w:r>
        <w:rPr>
          <w:rFonts w:ascii="仿宋_GB2312" w:eastAsia="仿宋_GB2312" w:hAnsi="仿宋" w:hint="eastAsia"/>
          <w:sz w:val="32"/>
          <w:szCs w:val="32"/>
        </w:rPr>
        <w:t>指标（100%）。全院归档案件数318件，电子卷宗自动归档投入应用比为100%。</w:t>
      </w:r>
    </w:p>
    <w:p w:rsidR="00955132" w:rsidRDefault="00955132" w:rsidP="00955132">
      <w:pPr>
        <w:spacing w:beforeLines="50" w:before="156" w:line="570" w:lineRule="exact"/>
        <w:ind w:firstLineChars="200" w:firstLine="643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五、下一步工作建议</w:t>
      </w:r>
    </w:p>
    <w:p w:rsidR="00955132" w:rsidRDefault="00955132" w:rsidP="00955132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一是要继续强化庭（局）长在审判管理中最直接、</w:t>
      </w:r>
      <w:proofErr w:type="gramStart"/>
      <w:r>
        <w:rPr>
          <w:rFonts w:ascii="仿宋" w:eastAsia="仿宋" w:hAnsi="仿宋" w:hint="eastAsia"/>
          <w:sz w:val="32"/>
          <w:szCs w:val="32"/>
        </w:rPr>
        <w:t>最</w:t>
      </w:r>
      <w:proofErr w:type="gramEnd"/>
      <w:r>
        <w:rPr>
          <w:rFonts w:ascii="仿宋" w:eastAsia="仿宋" w:hAnsi="仿宋" w:hint="eastAsia"/>
          <w:sz w:val="32"/>
          <w:szCs w:val="32"/>
        </w:rPr>
        <w:t>基础的作用，运用各种审判管理手段对部门审判质</w:t>
      </w:r>
      <w:proofErr w:type="gramStart"/>
      <w:r>
        <w:rPr>
          <w:rFonts w:ascii="仿宋" w:eastAsia="仿宋" w:hAnsi="仿宋" w:hint="eastAsia"/>
          <w:sz w:val="32"/>
          <w:szCs w:val="32"/>
        </w:rPr>
        <w:t>效进行</w:t>
      </w:r>
      <w:proofErr w:type="gramEnd"/>
      <w:r>
        <w:rPr>
          <w:rFonts w:ascii="仿宋" w:eastAsia="仿宋" w:hAnsi="仿宋" w:hint="eastAsia"/>
          <w:sz w:val="32"/>
          <w:szCs w:val="32"/>
        </w:rPr>
        <w:t>动态控制，提高审判质效。</w:t>
      </w:r>
    </w:p>
    <w:p w:rsidR="00955132" w:rsidRDefault="00955132" w:rsidP="00955132">
      <w:pPr>
        <w:ind w:firstLineChars="200" w:firstLine="640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要加强审判质量管理。各业务庭室除完成日常审</w:t>
      </w:r>
      <w:r>
        <w:rPr>
          <w:rFonts w:ascii="仿宋" w:eastAsia="仿宋" w:hAnsi="仿宋" w:hint="eastAsia"/>
          <w:sz w:val="32"/>
          <w:szCs w:val="32"/>
        </w:rPr>
        <w:lastRenderedPageBreak/>
        <w:t>判工作任务外，还要注意严把案件质量关；坚决遏制住上诉改判、发回重审案件数。强化审限意识，规范期限管理，加强对承办人办案的督办和催办。</w:t>
      </w:r>
    </w:p>
    <w:p w:rsidR="00955132" w:rsidRDefault="00955132" w:rsidP="00955132">
      <w:pPr>
        <w:spacing w:beforeLines="50" w:before="156" w:line="57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三是要进一步加强案件庭审直播工作。目前，庭审直播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率距达标仍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有仅近半数的缺口，存在较大压力。</w:t>
      </w:r>
      <w:r>
        <w:rPr>
          <w:rFonts w:ascii="仿宋" w:eastAsia="仿宋" w:hAnsi="仿宋" w:hint="eastAsia"/>
          <w:sz w:val="32"/>
          <w:szCs w:val="32"/>
        </w:rPr>
        <w:t>院、庭长要充分发挥带头作用，调动本庭法官进行庭审直播的积极性，使庭审直播常态化。</w:t>
      </w:r>
    </w:p>
    <w:p w:rsidR="00955132" w:rsidRDefault="00955132" w:rsidP="00955132">
      <w:pPr>
        <w:spacing w:beforeLines="50" w:before="156" w:line="57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四是要加强智慧法院建设与深度应用。目前亟待解决的是使用网上开庭设备（“云上法庭”、电子法院</w:t>
      </w:r>
      <w:proofErr w:type="gramStart"/>
      <w:r>
        <w:rPr>
          <w:rFonts w:ascii="仿宋" w:eastAsia="仿宋" w:hAnsi="仿宋" w:hint="eastAsia"/>
          <w:sz w:val="32"/>
          <w:szCs w:val="32"/>
        </w:rPr>
        <w:t>云会议</w:t>
      </w:r>
      <w:proofErr w:type="gramEnd"/>
      <w:r>
        <w:rPr>
          <w:rFonts w:ascii="仿宋" w:eastAsia="仿宋" w:hAnsi="仿宋" w:hint="eastAsia"/>
          <w:sz w:val="32"/>
          <w:szCs w:val="32"/>
        </w:rPr>
        <w:t>等）进行开庭，以当前网上立案数（171件）为基数，则至少应网上开庭案件数为9件。</w:t>
      </w:r>
    </w:p>
    <w:p w:rsidR="00600BB1" w:rsidRPr="00955132" w:rsidRDefault="00955132"/>
    <w:sectPr w:rsidR="00600BB1" w:rsidRPr="0095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D"/>
    <w:rsid w:val="00003F4D"/>
    <w:rsid w:val="007A3268"/>
    <w:rsid w:val="00955132"/>
    <w:rsid w:val="00B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AC92-25A8-441F-8738-68FBB8E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1">
                <a:latin typeface="方正大标宋简体" panose="02010601030101010101" pitchFamily="2" charset="-122"/>
                <a:ea typeface="方正大标宋简体" panose="02010601030101010101" pitchFamily="2" charset="-122"/>
              </a:rPr>
              <a:t>图表</a:t>
            </a:r>
            <a:r>
              <a:rPr lang="en-US" altLang="zh-CN" sz="1200" b="1">
                <a:latin typeface="方正大标宋简体" panose="02010601030101010101" pitchFamily="2" charset="-122"/>
                <a:ea typeface="方正大标宋简体" panose="02010601030101010101" pitchFamily="2" charset="-122"/>
              </a:rPr>
              <a:t>1  </a:t>
            </a:r>
            <a:r>
              <a:rPr lang="en-US" altLang="zh-CN" sz="1200" b="0">
                <a:latin typeface="方正大标宋简体" panose="02010601030101010101" pitchFamily="2" charset="-122"/>
                <a:ea typeface="方正大标宋简体" panose="02010601030101010101" pitchFamily="2" charset="-122"/>
              </a:rPr>
              <a:t>2020</a:t>
            </a:r>
            <a:r>
              <a:rPr lang="zh-CN" altLang="en-US" sz="1200" b="0">
                <a:latin typeface="方正大标宋简体" panose="02010601030101010101" pitchFamily="2" charset="-122"/>
                <a:ea typeface="方正大标宋简体" panose="02010601030101010101" pitchFamily="2" charset="-122"/>
              </a:rPr>
              <a:t>年</a:t>
            </a:r>
            <a:r>
              <a:rPr lang="en-US" altLang="zh-CN" sz="1200" b="0">
                <a:latin typeface="方正大标宋简体" panose="02010601030101010101" pitchFamily="2" charset="-122"/>
                <a:ea typeface="方正大标宋简体" panose="02010601030101010101" pitchFamily="2" charset="-122"/>
              </a:rPr>
              <a:t>1-9</a:t>
            </a:r>
            <a:r>
              <a:rPr lang="zh-CN" altLang="en-US" sz="1200" b="0">
                <a:latin typeface="方正大标宋简体" panose="02010601030101010101" pitchFamily="2" charset="-122"/>
                <a:ea typeface="方正大标宋简体" panose="02010601030101010101" pitchFamily="2" charset="-122"/>
              </a:rPr>
              <a:t>月全院收结存总体同比情况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</c:v>
                </c:pt>
                <c:pt idx="1">
                  <c:v>519</c:v>
                </c:pt>
                <c:pt idx="2">
                  <c:v>550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2-4BBC-9BD1-9734C26DA1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60</c:v>
                </c:pt>
                <c:pt idx="1">
                  <c:v>519</c:v>
                </c:pt>
                <c:pt idx="2">
                  <c:v>579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72-4BBC-9BD1-9734C26DA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9004287"/>
        <c:axId val="818998463"/>
        <c:axId val="0"/>
      </c:bar3DChart>
      <c:catAx>
        <c:axId val="819004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8998463"/>
        <c:crosses val="autoZero"/>
        <c:auto val="1"/>
        <c:lblAlgn val="ctr"/>
        <c:lblOffset val="100"/>
        <c:noMultiLvlLbl val="0"/>
      </c:catAx>
      <c:valAx>
        <c:axId val="818998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单位：（件）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900428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sz="1400"/>
              <a:t>图表</a:t>
            </a:r>
            <a:r>
              <a:rPr lang="en-US" sz="1400"/>
              <a:t>2    1-9</a:t>
            </a:r>
            <a:r>
              <a:rPr lang="zh-CN" sz="1400"/>
              <a:t>月受理案件构成情况图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23121047369078865"/>
          <c:w val="0.78472222222222221"/>
          <c:h val="0.582777152855893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案件数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DC2-4955-8B37-F76380B9E8B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DC2-4955-8B37-F76380B9E8B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DC2-4955-8B37-F76380B9E8B1}"/>
              </c:ext>
            </c:extLst>
          </c:dPt>
          <c:dPt>
            <c:idx val="3"/>
            <c:bubble3D val="0"/>
            <c:explosion val="2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DC2-4955-8B37-F76380B9E8B1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DC2-4955-8B37-F76380B9E8B1}"/>
              </c:ext>
            </c:extLst>
          </c:dPt>
          <c:dLbls>
            <c:dLbl>
              <c:idx val="0"/>
              <c:layout>
                <c:manualLayout>
                  <c:x val="-3.0092592592592601E-2"/>
                  <c:y val="-0.134920634920634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CDB26EA-5F7C-404F-8FE9-3049BE88C378}" type="CATEGORYNAME">
                      <a:rPr lang="zh-CN" altLang="en-US"/>
                      <a:pPr>
                        <a:defRPr/>
                      </a:pPr>
                      <a:t>[类别名称]</a:t>
                    </a:fld>
                    <a:r>
                      <a:rPr lang="zh-CN" altLang="en-US"/>
                      <a:t>受案数</a:t>
                    </a:r>
                    <a:r>
                      <a:rPr lang="en-US" altLang="zh-CN"/>
                      <a:t>253</a:t>
                    </a:r>
                    <a:r>
                      <a:rPr lang="zh-CN" altLang="en-US"/>
                      <a:t>件，占比</a:t>
                    </a:r>
                    <a:r>
                      <a:rPr lang="en-US" altLang="zh-CN"/>
                      <a:t>44.23%</a:t>
                    </a:r>
                    <a:r>
                      <a:rPr lang="zh-CN" altLang="en-US"/>
                      <a:t>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42592592592591"/>
                      <c:h val="0.166666666666666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DC2-4955-8B37-F76380B9E8B1}"/>
                </c:ext>
              </c:extLst>
            </c:dLbl>
            <c:dLbl>
              <c:idx val="1"/>
              <c:layout>
                <c:manualLayout>
                  <c:x val="0.2951388888888889"/>
                  <c:y val="-9.583802024746906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D858C00-E5F6-4F80-AE82-9A9F6165CF43}" type="CATEGORYNAME">
                      <a:rPr lang="zh-CN" altLang="en-US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[类别名称]</a:t>
                    </a:fld>
                    <a:r>
                      <a:rPr lang="zh-CN" altLang="en-US"/>
                      <a:t>受案数</a:t>
                    </a:r>
                    <a:r>
                      <a:rPr lang="en-US" altLang="zh-CN"/>
                      <a:t>82</a:t>
                    </a:r>
                    <a:r>
                      <a:rPr lang="zh-CN" altLang="en-US"/>
                      <a:t>件，占比</a:t>
                    </a:r>
                    <a:r>
                      <a:rPr lang="en-US" altLang="zh-CN"/>
                      <a:t>14.34%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5925925925926"/>
                      <c:h val="0.163512060992375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DC2-4955-8B37-F76380B9E8B1}"/>
                </c:ext>
              </c:extLst>
            </c:dLbl>
            <c:dLbl>
              <c:idx val="2"/>
              <c:layout>
                <c:manualLayout>
                  <c:x val="0.10768172207640711"/>
                  <c:y val="0.130952380952380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A408AF1-F071-4CF6-8175-CD57CB6AAB1A}" type="CATEGORYNAME">
                      <a:rPr lang="zh-CN" altLang="en-US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[类别名称]</a:t>
                    </a:fld>
                    <a:r>
                      <a:rPr lang="zh-CN" altLang="en-US"/>
                      <a:t>受案数</a:t>
                    </a:r>
                    <a:r>
                      <a:rPr lang="en-US" altLang="zh-CN"/>
                      <a:t>7</a:t>
                    </a:r>
                    <a:r>
                      <a:rPr lang="zh-CN" altLang="en-US"/>
                      <a:t>件，占比</a:t>
                    </a:r>
                    <a:r>
                      <a:rPr lang="en-US" altLang="zh-CN"/>
                      <a:t>1.22%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23611111111112"/>
                      <c:h val="0.115079365079365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DC2-4955-8B37-F76380B9E8B1}"/>
                </c:ext>
              </c:extLst>
            </c:dLbl>
            <c:dLbl>
              <c:idx val="3"/>
              <c:layout>
                <c:manualLayout>
                  <c:x val="-4.6828885972586762E-2"/>
                  <c:y val="-0.115079365079365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E9FA2A1-916E-42D9-9151-0B16CA1F89AD}" type="CATEGORYNAME">
                      <a:rPr lang="zh-CN" altLang="en-US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[类别名称]</a:t>
                    </a:fld>
                    <a:r>
                      <a:rPr lang="zh-CN" altLang="en-US"/>
                      <a:t>受案数</a:t>
                    </a:r>
                    <a:r>
                      <a:rPr lang="en-US" altLang="zh-CN"/>
                      <a:t>6</a:t>
                    </a:r>
                    <a:r>
                      <a:rPr lang="zh-CN" altLang="en-US"/>
                      <a:t>件，占比</a:t>
                    </a:r>
                    <a:r>
                      <a:rPr lang="en-US" altLang="zh-CN"/>
                      <a:t>1.05%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DC2-4955-8B37-F76380B9E8B1}"/>
                </c:ext>
              </c:extLst>
            </c:dLbl>
            <c:dLbl>
              <c:idx val="4"/>
              <c:layout>
                <c:manualLayout>
                  <c:x val="-3.4722222222222307E-3"/>
                  <c:y val="-0.134920478690163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613563B-4F32-4F3F-82C7-21EF98F58876}" type="CATEGORYNAME">
                      <a:rPr lang="zh-CN" altLang="en-US"/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[类别名称]</a:t>
                    </a:fld>
                    <a:r>
                      <a:rPr lang="zh-CN" altLang="en-US"/>
                      <a:t>受案数</a:t>
                    </a:r>
                    <a:r>
                      <a:rPr lang="en-US" altLang="zh-CN"/>
                      <a:t>224</a:t>
                    </a:r>
                    <a:r>
                      <a:rPr lang="zh-CN" altLang="en-US"/>
                      <a:t>件，占比</a:t>
                    </a:r>
                    <a:r>
                      <a:rPr lang="en-US" altLang="zh-CN"/>
                      <a:t>39.16%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7037037037037"/>
                      <c:h val="0.163512060992375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DC2-4955-8B37-F76380B9E8B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民事案件</c:v>
                </c:pt>
                <c:pt idx="1">
                  <c:v>刑事案件</c:v>
                </c:pt>
                <c:pt idx="2">
                  <c:v>行政案件</c:v>
                </c:pt>
                <c:pt idx="3">
                  <c:v>非诉案件</c:v>
                </c:pt>
                <c:pt idx="4">
                  <c:v>执行案件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253</c:v>
                </c:pt>
                <c:pt idx="1">
                  <c:v>82</c:v>
                </c:pt>
                <c:pt idx="2">
                  <c:v>7</c:v>
                </c:pt>
                <c:pt idx="3">
                  <c:v>6</c:v>
                </c:pt>
                <c:pt idx="4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DC2-4955-8B37-F76380B9E8B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2020-09-29T01:27:00Z</dcterms:created>
  <dcterms:modified xsi:type="dcterms:W3CDTF">2020-09-29T01:28:00Z</dcterms:modified>
</cp:coreProperties>
</file>