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A" w:rsidRDefault="00626FAA" w:rsidP="007F2163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sz w:val="44"/>
          <w:szCs w:val="44"/>
        </w:rPr>
        <w:t>吉林省</w:t>
      </w:r>
      <w:r w:rsidR="00C3682B" w:rsidRPr="00626FAA">
        <w:rPr>
          <w:rFonts w:ascii="宋体" w:eastAsia="宋体" w:hAnsi="宋体"/>
          <w:sz w:val="44"/>
          <w:szCs w:val="44"/>
        </w:rPr>
        <w:t>敦化林区基层法院</w:t>
      </w:r>
    </w:p>
    <w:p w:rsidR="00626FAA" w:rsidRDefault="00C3682B" w:rsidP="00626FAA">
      <w:pPr>
        <w:jc w:val="center"/>
        <w:rPr>
          <w:rFonts w:ascii="宋体" w:eastAsia="宋体" w:hAnsi="宋体"/>
          <w:sz w:val="44"/>
          <w:szCs w:val="44"/>
        </w:rPr>
      </w:pPr>
      <w:r w:rsidRPr="00626FAA">
        <w:rPr>
          <w:rFonts w:ascii="宋体" w:eastAsia="宋体" w:hAnsi="宋体" w:hint="eastAsia"/>
          <w:sz w:val="44"/>
          <w:szCs w:val="44"/>
        </w:rPr>
        <w:t>20</w:t>
      </w:r>
      <w:r w:rsidR="00344541">
        <w:rPr>
          <w:rFonts w:ascii="宋体" w:eastAsia="宋体" w:hAnsi="宋体" w:hint="eastAsia"/>
          <w:sz w:val="44"/>
          <w:szCs w:val="44"/>
        </w:rPr>
        <w:t>20</w:t>
      </w:r>
      <w:r w:rsidR="003F60AD">
        <w:rPr>
          <w:rFonts w:ascii="宋体" w:eastAsia="宋体" w:hAnsi="宋体" w:hint="eastAsia"/>
          <w:sz w:val="44"/>
          <w:szCs w:val="44"/>
        </w:rPr>
        <w:t>年1</w:t>
      </w:r>
      <w:r w:rsidRPr="00626FAA">
        <w:rPr>
          <w:rFonts w:ascii="宋体" w:eastAsia="宋体" w:hAnsi="宋体" w:hint="eastAsia"/>
          <w:sz w:val="44"/>
          <w:szCs w:val="44"/>
        </w:rPr>
        <w:t>季度审判运行</w:t>
      </w:r>
    </w:p>
    <w:p w:rsidR="00901EB1" w:rsidRPr="008554B9" w:rsidRDefault="00C3682B" w:rsidP="00626FAA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8554B9">
        <w:rPr>
          <w:rFonts w:ascii="仿宋_GB2312" w:eastAsia="仿宋_GB2312" w:hAnsi="仿宋" w:hint="eastAsia"/>
          <w:b/>
          <w:sz w:val="44"/>
          <w:szCs w:val="44"/>
        </w:rPr>
        <w:t>态</w:t>
      </w:r>
      <w:r w:rsidR="00344541" w:rsidRPr="008554B9">
        <w:rPr>
          <w:rFonts w:ascii="仿宋_GB2312" w:eastAsia="仿宋_GB2312" w:hAnsi="仿宋" w:hint="eastAsia"/>
          <w:b/>
          <w:sz w:val="44"/>
          <w:szCs w:val="44"/>
        </w:rPr>
        <w:t xml:space="preserve"> </w:t>
      </w:r>
      <w:r w:rsidRPr="008554B9">
        <w:rPr>
          <w:rFonts w:ascii="仿宋_GB2312" w:eastAsia="仿宋_GB2312" w:hAnsi="仿宋" w:hint="eastAsia"/>
          <w:b/>
          <w:sz w:val="44"/>
          <w:szCs w:val="44"/>
        </w:rPr>
        <w:t>势</w:t>
      </w:r>
      <w:r w:rsidR="00344541" w:rsidRPr="008554B9">
        <w:rPr>
          <w:rFonts w:ascii="仿宋_GB2312" w:eastAsia="仿宋_GB2312" w:hAnsi="仿宋" w:hint="eastAsia"/>
          <w:b/>
          <w:sz w:val="44"/>
          <w:szCs w:val="44"/>
        </w:rPr>
        <w:t xml:space="preserve"> </w:t>
      </w:r>
      <w:r w:rsidRPr="008554B9">
        <w:rPr>
          <w:rFonts w:ascii="仿宋_GB2312" w:eastAsia="仿宋_GB2312" w:hAnsi="仿宋" w:hint="eastAsia"/>
          <w:b/>
          <w:sz w:val="44"/>
          <w:szCs w:val="44"/>
        </w:rPr>
        <w:t>分</w:t>
      </w:r>
      <w:r w:rsidR="00344541" w:rsidRPr="008554B9">
        <w:rPr>
          <w:rFonts w:ascii="仿宋_GB2312" w:eastAsia="仿宋_GB2312" w:hAnsi="仿宋" w:hint="eastAsia"/>
          <w:b/>
          <w:sz w:val="44"/>
          <w:szCs w:val="44"/>
        </w:rPr>
        <w:t xml:space="preserve"> </w:t>
      </w:r>
      <w:r w:rsidRPr="008554B9">
        <w:rPr>
          <w:rFonts w:ascii="仿宋_GB2312" w:eastAsia="仿宋_GB2312" w:hAnsi="仿宋" w:hint="eastAsia"/>
          <w:b/>
          <w:sz w:val="44"/>
          <w:szCs w:val="44"/>
        </w:rPr>
        <w:t>析</w:t>
      </w:r>
      <w:r w:rsidR="00344541" w:rsidRPr="008554B9">
        <w:rPr>
          <w:rFonts w:ascii="仿宋_GB2312" w:eastAsia="仿宋_GB2312" w:hAnsi="仿宋" w:hint="eastAsia"/>
          <w:b/>
          <w:sz w:val="44"/>
          <w:szCs w:val="44"/>
        </w:rPr>
        <w:t xml:space="preserve"> </w:t>
      </w:r>
      <w:r w:rsidRPr="008554B9">
        <w:rPr>
          <w:rFonts w:ascii="仿宋_GB2312" w:eastAsia="仿宋_GB2312" w:hAnsi="仿宋" w:hint="eastAsia"/>
          <w:b/>
          <w:sz w:val="44"/>
          <w:szCs w:val="44"/>
        </w:rPr>
        <w:t>报</w:t>
      </w:r>
      <w:r w:rsidR="00344541" w:rsidRPr="008554B9">
        <w:rPr>
          <w:rFonts w:ascii="仿宋_GB2312" w:eastAsia="仿宋_GB2312" w:hAnsi="仿宋" w:hint="eastAsia"/>
          <w:b/>
          <w:sz w:val="44"/>
          <w:szCs w:val="44"/>
        </w:rPr>
        <w:t xml:space="preserve"> </w:t>
      </w:r>
      <w:r w:rsidRPr="008554B9">
        <w:rPr>
          <w:rFonts w:ascii="仿宋_GB2312" w:eastAsia="仿宋_GB2312" w:hAnsi="仿宋" w:hint="eastAsia"/>
          <w:b/>
          <w:sz w:val="44"/>
          <w:szCs w:val="44"/>
        </w:rPr>
        <w:t>告</w:t>
      </w:r>
    </w:p>
    <w:p w:rsidR="008F045D" w:rsidRDefault="007F2163" w:rsidP="008554B9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E22BAB">
        <w:rPr>
          <w:rFonts w:ascii="仿宋" w:eastAsia="仿宋" w:hAnsi="仿宋" w:hint="eastAsia"/>
          <w:b/>
          <w:sz w:val="32"/>
          <w:szCs w:val="32"/>
        </w:rPr>
        <w:t>一、</w:t>
      </w:r>
      <w:r w:rsidR="00E22BAB">
        <w:rPr>
          <w:rFonts w:ascii="仿宋" w:eastAsia="仿宋" w:hAnsi="仿宋"/>
          <w:b/>
          <w:sz w:val="32"/>
          <w:szCs w:val="32"/>
        </w:rPr>
        <w:t>全院</w:t>
      </w:r>
      <w:r w:rsidR="003F60AD">
        <w:rPr>
          <w:rFonts w:ascii="仿宋" w:eastAsia="仿宋" w:hAnsi="仿宋"/>
          <w:b/>
          <w:sz w:val="32"/>
          <w:szCs w:val="32"/>
        </w:rPr>
        <w:t>1</w:t>
      </w:r>
      <w:r w:rsidRPr="00E22BAB">
        <w:rPr>
          <w:rFonts w:ascii="仿宋" w:eastAsia="仿宋" w:hAnsi="仿宋"/>
          <w:b/>
          <w:sz w:val="32"/>
          <w:szCs w:val="32"/>
        </w:rPr>
        <w:t>季度基础审判数据</w:t>
      </w:r>
    </w:p>
    <w:p w:rsidR="007F2163" w:rsidRDefault="007F2163" w:rsidP="008554B9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E22BAB">
        <w:rPr>
          <w:rFonts w:ascii="仿宋" w:eastAsia="仿宋" w:hAnsi="仿宋" w:hint="eastAsia"/>
          <w:b/>
          <w:sz w:val="32"/>
          <w:szCs w:val="32"/>
        </w:rPr>
        <w:t>（一）收结案情况</w:t>
      </w:r>
    </w:p>
    <w:p w:rsidR="00D50827" w:rsidRDefault="00E22BAB" w:rsidP="008554B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344541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月1日至</w:t>
      </w:r>
      <w:r>
        <w:rPr>
          <w:rFonts w:ascii="仿宋" w:eastAsia="仿宋" w:hAnsi="仿宋" w:hint="eastAsia"/>
          <w:sz w:val="32"/>
          <w:szCs w:val="32"/>
        </w:rPr>
        <w:t>3月31日，全院共受理各类案件</w:t>
      </w:r>
      <w:r w:rsidR="00344541">
        <w:rPr>
          <w:rFonts w:ascii="仿宋" w:eastAsia="仿宋" w:hAnsi="仿宋" w:hint="eastAsia"/>
          <w:sz w:val="32"/>
          <w:szCs w:val="32"/>
        </w:rPr>
        <w:t>239</w:t>
      </w:r>
      <w:r w:rsidR="00AA65F1">
        <w:rPr>
          <w:rFonts w:ascii="仿宋" w:eastAsia="仿宋" w:hAnsi="仿宋" w:hint="eastAsia"/>
          <w:sz w:val="32"/>
          <w:szCs w:val="32"/>
        </w:rPr>
        <w:t>件，同比</w:t>
      </w:r>
      <w:r w:rsidR="00344541">
        <w:rPr>
          <w:rFonts w:ascii="仿宋" w:eastAsia="仿宋" w:hAnsi="仿宋" w:hint="eastAsia"/>
          <w:sz w:val="32"/>
          <w:szCs w:val="32"/>
        </w:rPr>
        <w:t>上升12.21</w:t>
      </w:r>
      <w:r w:rsidR="00AA65F1">
        <w:rPr>
          <w:rFonts w:ascii="仿宋" w:eastAsia="仿宋" w:hAnsi="仿宋" w:hint="eastAsia"/>
          <w:sz w:val="32"/>
          <w:szCs w:val="32"/>
        </w:rPr>
        <w:t>%，其中</w:t>
      </w:r>
      <w:r w:rsidR="009E37A8">
        <w:rPr>
          <w:rFonts w:ascii="仿宋" w:eastAsia="仿宋" w:hAnsi="仿宋" w:hint="eastAsia"/>
          <w:sz w:val="32"/>
          <w:szCs w:val="32"/>
        </w:rPr>
        <w:t>：</w:t>
      </w:r>
      <w:r w:rsidR="00B51D76">
        <w:rPr>
          <w:rFonts w:ascii="仿宋" w:eastAsia="仿宋" w:hAnsi="仿宋" w:hint="eastAsia"/>
          <w:sz w:val="32"/>
          <w:szCs w:val="32"/>
        </w:rPr>
        <w:t>旧存</w:t>
      </w:r>
      <w:r w:rsidR="00344541">
        <w:rPr>
          <w:rFonts w:ascii="仿宋" w:eastAsia="仿宋" w:hAnsi="仿宋" w:hint="eastAsia"/>
          <w:sz w:val="32"/>
          <w:szCs w:val="32"/>
        </w:rPr>
        <w:t>53</w:t>
      </w:r>
      <w:r w:rsidR="00B51D76">
        <w:rPr>
          <w:rFonts w:ascii="仿宋" w:eastAsia="仿宋" w:hAnsi="仿宋" w:hint="eastAsia"/>
          <w:sz w:val="32"/>
          <w:szCs w:val="32"/>
        </w:rPr>
        <w:t>件（诉讼</w:t>
      </w:r>
      <w:r w:rsidR="009E37A8">
        <w:rPr>
          <w:rFonts w:ascii="仿宋" w:eastAsia="仿宋" w:hAnsi="仿宋" w:hint="eastAsia"/>
          <w:sz w:val="32"/>
          <w:szCs w:val="32"/>
        </w:rPr>
        <w:t>37</w:t>
      </w:r>
      <w:r w:rsidR="00B51D76">
        <w:rPr>
          <w:rFonts w:ascii="仿宋" w:eastAsia="仿宋" w:hAnsi="仿宋" w:hint="eastAsia"/>
          <w:sz w:val="32"/>
          <w:szCs w:val="32"/>
        </w:rPr>
        <w:t>件</w:t>
      </w:r>
      <w:r w:rsidR="002D0464">
        <w:rPr>
          <w:rFonts w:ascii="仿宋" w:eastAsia="仿宋" w:hAnsi="仿宋" w:hint="eastAsia"/>
          <w:sz w:val="32"/>
          <w:szCs w:val="32"/>
        </w:rPr>
        <w:t>、</w:t>
      </w:r>
      <w:r w:rsidR="00B51D76">
        <w:rPr>
          <w:rFonts w:ascii="仿宋" w:eastAsia="仿宋" w:hAnsi="仿宋" w:hint="eastAsia"/>
          <w:sz w:val="32"/>
          <w:szCs w:val="32"/>
        </w:rPr>
        <w:t>执行</w:t>
      </w:r>
      <w:r w:rsidR="009E37A8">
        <w:rPr>
          <w:rFonts w:ascii="仿宋" w:eastAsia="仿宋" w:hAnsi="仿宋" w:hint="eastAsia"/>
          <w:sz w:val="32"/>
          <w:szCs w:val="32"/>
        </w:rPr>
        <w:t>16</w:t>
      </w:r>
      <w:r w:rsidR="00B51D76">
        <w:rPr>
          <w:rFonts w:ascii="仿宋" w:eastAsia="仿宋" w:hAnsi="仿宋" w:hint="eastAsia"/>
          <w:sz w:val="32"/>
          <w:szCs w:val="32"/>
        </w:rPr>
        <w:t>件），同比下降</w:t>
      </w:r>
      <w:r w:rsidR="009E37A8">
        <w:rPr>
          <w:rFonts w:ascii="仿宋" w:eastAsia="仿宋" w:hAnsi="仿宋" w:hint="eastAsia"/>
          <w:sz w:val="32"/>
          <w:szCs w:val="32"/>
        </w:rPr>
        <w:t>11.67</w:t>
      </w:r>
      <w:r w:rsidR="00B51D76">
        <w:rPr>
          <w:rFonts w:ascii="仿宋" w:eastAsia="仿宋" w:hAnsi="仿宋" w:hint="eastAsia"/>
          <w:sz w:val="32"/>
          <w:szCs w:val="32"/>
        </w:rPr>
        <w:t>%</w:t>
      </w:r>
      <w:r w:rsidR="007B4BE9">
        <w:rPr>
          <w:rFonts w:ascii="仿宋" w:eastAsia="仿宋" w:hAnsi="仿宋" w:hint="eastAsia"/>
          <w:sz w:val="32"/>
          <w:szCs w:val="32"/>
        </w:rPr>
        <w:t>；新收</w:t>
      </w:r>
      <w:r w:rsidR="009E37A8">
        <w:rPr>
          <w:rFonts w:ascii="仿宋" w:eastAsia="仿宋" w:hAnsi="仿宋" w:hint="eastAsia"/>
          <w:sz w:val="32"/>
          <w:szCs w:val="32"/>
        </w:rPr>
        <w:t>186</w:t>
      </w:r>
      <w:r w:rsidR="002D0464">
        <w:rPr>
          <w:rFonts w:ascii="仿宋" w:eastAsia="仿宋" w:hAnsi="仿宋" w:hint="eastAsia"/>
          <w:sz w:val="32"/>
          <w:szCs w:val="32"/>
        </w:rPr>
        <w:t>件（诉讼</w:t>
      </w:r>
      <w:r w:rsidR="009E37A8">
        <w:rPr>
          <w:rFonts w:ascii="仿宋" w:eastAsia="仿宋" w:hAnsi="仿宋" w:hint="eastAsia"/>
          <w:sz w:val="32"/>
          <w:szCs w:val="32"/>
        </w:rPr>
        <w:t>87</w:t>
      </w:r>
      <w:r w:rsidR="002D0464">
        <w:rPr>
          <w:rFonts w:ascii="仿宋" w:eastAsia="仿宋" w:hAnsi="仿宋" w:hint="eastAsia"/>
          <w:sz w:val="32"/>
          <w:szCs w:val="32"/>
        </w:rPr>
        <w:t>件、执行</w:t>
      </w:r>
      <w:r w:rsidR="009E37A8">
        <w:rPr>
          <w:rFonts w:ascii="仿宋" w:eastAsia="仿宋" w:hAnsi="仿宋" w:hint="eastAsia"/>
          <w:sz w:val="32"/>
          <w:szCs w:val="32"/>
        </w:rPr>
        <w:t>99</w:t>
      </w:r>
      <w:r w:rsidR="009B4B49">
        <w:rPr>
          <w:rFonts w:ascii="仿宋" w:eastAsia="仿宋" w:hAnsi="仿宋" w:hint="eastAsia"/>
          <w:sz w:val="32"/>
          <w:szCs w:val="32"/>
        </w:rPr>
        <w:t>件），同比</w:t>
      </w:r>
      <w:r w:rsidR="009E37A8">
        <w:rPr>
          <w:rFonts w:ascii="仿宋" w:eastAsia="仿宋" w:hAnsi="仿宋" w:hint="eastAsia"/>
          <w:sz w:val="32"/>
          <w:szCs w:val="32"/>
        </w:rPr>
        <w:t>上升21.57%</w:t>
      </w:r>
      <w:r w:rsidR="009B4B49">
        <w:rPr>
          <w:rFonts w:ascii="仿宋" w:eastAsia="仿宋" w:hAnsi="仿宋" w:hint="eastAsia"/>
          <w:sz w:val="32"/>
          <w:szCs w:val="32"/>
        </w:rPr>
        <w:t>；审</w:t>
      </w:r>
      <w:r w:rsidR="002D0464">
        <w:rPr>
          <w:rFonts w:ascii="仿宋" w:eastAsia="仿宋" w:hAnsi="仿宋" w:hint="eastAsia"/>
          <w:sz w:val="32"/>
          <w:szCs w:val="32"/>
        </w:rPr>
        <w:t>执结</w:t>
      </w:r>
      <w:r w:rsidR="00AD2884">
        <w:rPr>
          <w:rFonts w:ascii="仿宋" w:eastAsia="仿宋" w:hAnsi="仿宋" w:hint="eastAsia"/>
          <w:sz w:val="32"/>
          <w:szCs w:val="32"/>
        </w:rPr>
        <w:t>93</w:t>
      </w:r>
      <w:r w:rsidR="00A31879">
        <w:rPr>
          <w:rFonts w:ascii="仿宋" w:eastAsia="仿宋" w:hAnsi="仿宋" w:hint="eastAsia"/>
          <w:sz w:val="32"/>
          <w:szCs w:val="32"/>
        </w:rPr>
        <w:t>件，同比</w:t>
      </w:r>
      <w:r w:rsidR="00AD2884">
        <w:rPr>
          <w:rFonts w:ascii="仿宋" w:eastAsia="仿宋" w:hAnsi="仿宋" w:hint="eastAsia"/>
          <w:sz w:val="32"/>
          <w:szCs w:val="32"/>
        </w:rPr>
        <w:t>下降30.08</w:t>
      </w:r>
      <w:r w:rsidR="00A31879">
        <w:rPr>
          <w:rFonts w:ascii="仿宋" w:eastAsia="仿宋" w:hAnsi="仿宋" w:hint="eastAsia"/>
          <w:sz w:val="32"/>
          <w:szCs w:val="32"/>
        </w:rPr>
        <w:t>%</w:t>
      </w:r>
      <w:r w:rsidR="00AD2884">
        <w:rPr>
          <w:rFonts w:ascii="仿宋" w:eastAsia="仿宋" w:hAnsi="仿宋" w:hint="eastAsia"/>
          <w:sz w:val="32"/>
          <w:szCs w:val="32"/>
        </w:rPr>
        <w:t>；结案率38.91</w:t>
      </w:r>
      <w:r w:rsidR="00A31879">
        <w:rPr>
          <w:rFonts w:ascii="仿宋" w:eastAsia="仿宋" w:hAnsi="仿宋" w:hint="eastAsia"/>
          <w:sz w:val="32"/>
          <w:szCs w:val="32"/>
        </w:rPr>
        <w:t>%</w:t>
      </w:r>
      <w:r w:rsidR="00AD2884">
        <w:rPr>
          <w:rFonts w:ascii="仿宋" w:eastAsia="仿宋" w:hAnsi="仿宋" w:hint="eastAsia"/>
          <w:sz w:val="32"/>
          <w:szCs w:val="32"/>
        </w:rPr>
        <w:t>，同比下降23.53</w:t>
      </w:r>
      <w:r w:rsidR="00E77C7C">
        <w:rPr>
          <w:rFonts w:ascii="仿宋" w:eastAsia="仿宋" w:hAnsi="仿宋" w:hint="eastAsia"/>
          <w:sz w:val="32"/>
          <w:szCs w:val="32"/>
        </w:rPr>
        <w:t>个百分点</w:t>
      </w:r>
      <w:r w:rsidR="00AD2884">
        <w:rPr>
          <w:rFonts w:ascii="仿宋" w:eastAsia="仿宋" w:hAnsi="仿宋" w:hint="eastAsia"/>
          <w:sz w:val="32"/>
          <w:szCs w:val="32"/>
        </w:rPr>
        <w:t>；结收比为50%，同比下降36.93个百分点。</w:t>
      </w:r>
      <w:r w:rsidR="00D50827">
        <w:rPr>
          <w:rFonts w:ascii="仿宋" w:eastAsia="仿宋" w:hAnsi="仿宋" w:hint="eastAsia"/>
          <w:sz w:val="32"/>
          <w:szCs w:val="32"/>
        </w:rPr>
        <w:t xml:space="preserve"> </w:t>
      </w:r>
    </w:p>
    <w:p w:rsidR="00711ACB" w:rsidRDefault="00214136" w:rsidP="00633EEE">
      <w:pPr>
        <w:spacing w:afterLines="5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337810" cy="4404360"/>
            <wp:effectExtent l="19050" t="0" r="15240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608B" w:rsidRPr="000A01A8" w:rsidRDefault="00C7608B" w:rsidP="000C6C8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刑事案件受案数为</w:t>
      </w:r>
      <w:r w:rsidR="000A01A8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件。其中，旧存</w:t>
      </w:r>
      <w:r w:rsidR="000C6C89">
        <w:rPr>
          <w:rFonts w:ascii="仿宋" w:eastAsia="仿宋" w:hAnsi="仿宋" w:hint="eastAsia"/>
          <w:sz w:val="32"/>
          <w:szCs w:val="32"/>
        </w:rPr>
        <w:t>3</w:t>
      </w:r>
      <w:r w:rsidR="000A01A8">
        <w:rPr>
          <w:rFonts w:ascii="仿宋" w:eastAsia="仿宋" w:hAnsi="仿宋" w:hint="eastAsia"/>
          <w:sz w:val="32"/>
          <w:szCs w:val="32"/>
        </w:rPr>
        <w:t>件，</w:t>
      </w:r>
      <w:r w:rsidR="000C6C89">
        <w:rPr>
          <w:rFonts w:ascii="仿宋" w:eastAsia="仿宋" w:hAnsi="仿宋" w:hint="eastAsia"/>
          <w:sz w:val="32"/>
          <w:szCs w:val="32"/>
        </w:rPr>
        <w:t>新收</w:t>
      </w:r>
      <w:r w:rsidR="000A01A8">
        <w:rPr>
          <w:rFonts w:ascii="仿宋" w:eastAsia="仿宋" w:hAnsi="仿宋" w:hint="eastAsia"/>
          <w:sz w:val="32"/>
          <w:szCs w:val="32"/>
        </w:rPr>
        <w:t>10件；审结4件，</w:t>
      </w:r>
      <w:r w:rsidR="000C6C89">
        <w:rPr>
          <w:rFonts w:ascii="仿宋" w:eastAsia="仿宋" w:hAnsi="仿宋" w:hint="eastAsia"/>
          <w:sz w:val="32"/>
          <w:szCs w:val="32"/>
        </w:rPr>
        <w:t>结案率</w:t>
      </w:r>
      <w:r w:rsidR="000A01A8">
        <w:rPr>
          <w:rFonts w:ascii="仿宋" w:eastAsia="仿宋" w:hAnsi="仿宋" w:hint="eastAsia"/>
          <w:sz w:val="32"/>
          <w:szCs w:val="32"/>
        </w:rPr>
        <w:t>30.77</w:t>
      </w:r>
      <w:r w:rsidR="000C6C89">
        <w:rPr>
          <w:rFonts w:ascii="仿宋" w:eastAsia="仿宋" w:hAnsi="仿宋" w:hint="eastAsia"/>
          <w:sz w:val="32"/>
          <w:szCs w:val="32"/>
        </w:rPr>
        <w:t>%</w:t>
      </w:r>
      <w:r w:rsidR="000A01A8">
        <w:rPr>
          <w:rFonts w:ascii="仿宋" w:eastAsia="仿宋" w:hAnsi="仿宋" w:hint="eastAsia"/>
          <w:sz w:val="32"/>
          <w:szCs w:val="32"/>
        </w:rPr>
        <w:t>，结收比为40%。</w:t>
      </w:r>
    </w:p>
    <w:p w:rsidR="00BE74C7" w:rsidRDefault="00C7608B" w:rsidP="003E7F9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民事案件受案数为</w:t>
      </w:r>
      <w:r w:rsidR="000A01A8">
        <w:rPr>
          <w:rFonts w:ascii="仿宋" w:eastAsia="仿宋" w:hAnsi="仿宋" w:hint="eastAsia"/>
          <w:sz w:val="32"/>
          <w:szCs w:val="32"/>
        </w:rPr>
        <w:t>107</w:t>
      </w:r>
      <w:r>
        <w:rPr>
          <w:rFonts w:ascii="仿宋" w:eastAsia="仿宋" w:hAnsi="仿宋" w:hint="eastAsia"/>
          <w:sz w:val="32"/>
          <w:szCs w:val="32"/>
        </w:rPr>
        <w:t>件。其中，旧存</w:t>
      </w:r>
      <w:r w:rsidR="000A01A8">
        <w:rPr>
          <w:rFonts w:ascii="仿宋" w:eastAsia="仿宋" w:hAnsi="仿宋" w:hint="eastAsia"/>
          <w:sz w:val="32"/>
          <w:szCs w:val="32"/>
        </w:rPr>
        <w:t>34件，</w:t>
      </w:r>
      <w:r>
        <w:rPr>
          <w:rFonts w:ascii="仿宋" w:eastAsia="仿宋" w:hAnsi="仿宋" w:hint="eastAsia"/>
          <w:sz w:val="32"/>
          <w:szCs w:val="32"/>
        </w:rPr>
        <w:t>新收</w:t>
      </w:r>
      <w:r w:rsidR="000A01A8">
        <w:rPr>
          <w:rFonts w:ascii="仿宋" w:eastAsia="仿宋" w:hAnsi="仿宋" w:hint="eastAsia"/>
          <w:sz w:val="32"/>
          <w:szCs w:val="32"/>
        </w:rPr>
        <w:t>73件</w:t>
      </w:r>
      <w:r>
        <w:rPr>
          <w:rFonts w:ascii="仿宋" w:eastAsia="仿宋" w:hAnsi="仿宋" w:hint="eastAsia"/>
          <w:sz w:val="32"/>
          <w:szCs w:val="32"/>
        </w:rPr>
        <w:t>；</w:t>
      </w:r>
      <w:r w:rsidR="000A01A8">
        <w:rPr>
          <w:rFonts w:ascii="仿宋" w:eastAsia="仿宋" w:hAnsi="仿宋" w:hint="eastAsia"/>
          <w:sz w:val="32"/>
          <w:szCs w:val="32"/>
        </w:rPr>
        <w:t>审结50件，结案率46.73</w:t>
      </w:r>
      <w:r>
        <w:rPr>
          <w:rFonts w:ascii="仿宋" w:eastAsia="仿宋" w:hAnsi="仿宋" w:hint="eastAsia"/>
          <w:sz w:val="32"/>
          <w:szCs w:val="32"/>
        </w:rPr>
        <w:t>%</w:t>
      </w:r>
      <w:r w:rsidR="000A01A8">
        <w:rPr>
          <w:rFonts w:ascii="仿宋" w:eastAsia="仿宋" w:hAnsi="仿宋" w:hint="eastAsia"/>
          <w:sz w:val="32"/>
          <w:szCs w:val="32"/>
        </w:rPr>
        <w:t>，结收比为</w:t>
      </w:r>
      <w:r w:rsidR="009122C0">
        <w:rPr>
          <w:rFonts w:ascii="仿宋" w:eastAsia="仿宋" w:hAnsi="仿宋" w:hint="eastAsia"/>
          <w:sz w:val="32"/>
          <w:szCs w:val="32"/>
        </w:rPr>
        <w:t>68.49%</w:t>
      </w:r>
      <w:r w:rsidR="00290AB5">
        <w:rPr>
          <w:rFonts w:ascii="仿宋" w:eastAsia="仿宋" w:hAnsi="仿宋" w:hint="eastAsia"/>
          <w:sz w:val="32"/>
          <w:szCs w:val="32"/>
        </w:rPr>
        <w:t>。</w:t>
      </w:r>
    </w:p>
    <w:p w:rsidR="00290AB5" w:rsidRDefault="00290AB5" w:rsidP="003E7F9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行政案件受案数为</w:t>
      </w:r>
      <w:r w:rsidR="002E67E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件</w:t>
      </w:r>
      <w:r w:rsidR="002E67E2">
        <w:rPr>
          <w:rFonts w:ascii="仿宋" w:eastAsia="仿宋" w:hAnsi="仿宋" w:hint="eastAsia"/>
          <w:sz w:val="32"/>
          <w:szCs w:val="32"/>
        </w:rPr>
        <w:t>，均为新收案件。</w:t>
      </w:r>
      <w:r w:rsidR="002F3180">
        <w:rPr>
          <w:rFonts w:ascii="仿宋" w:eastAsia="仿宋" w:hAnsi="仿宋" w:hint="eastAsia"/>
          <w:sz w:val="32"/>
          <w:szCs w:val="32"/>
        </w:rPr>
        <w:t>审结</w:t>
      </w:r>
      <w:r w:rsidR="002E67E2">
        <w:rPr>
          <w:rFonts w:ascii="仿宋" w:eastAsia="仿宋" w:hAnsi="仿宋" w:hint="eastAsia"/>
          <w:sz w:val="32"/>
          <w:szCs w:val="32"/>
        </w:rPr>
        <w:t>1件</w:t>
      </w:r>
      <w:r>
        <w:rPr>
          <w:rFonts w:ascii="仿宋" w:eastAsia="仿宋" w:hAnsi="仿宋" w:hint="eastAsia"/>
          <w:sz w:val="32"/>
          <w:szCs w:val="32"/>
        </w:rPr>
        <w:t>，结案率</w:t>
      </w:r>
      <w:r w:rsidR="002E67E2">
        <w:rPr>
          <w:rFonts w:ascii="仿宋" w:eastAsia="仿宋" w:hAnsi="仿宋" w:hint="eastAsia"/>
          <w:sz w:val="32"/>
          <w:szCs w:val="32"/>
        </w:rPr>
        <w:t>33.33</w:t>
      </w:r>
      <w:r>
        <w:rPr>
          <w:rFonts w:ascii="仿宋" w:eastAsia="仿宋" w:hAnsi="仿宋" w:hint="eastAsia"/>
          <w:sz w:val="32"/>
          <w:szCs w:val="32"/>
        </w:rPr>
        <w:t>%</w:t>
      </w:r>
      <w:r w:rsidR="002E67E2">
        <w:rPr>
          <w:rFonts w:ascii="仿宋" w:eastAsia="仿宋" w:hAnsi="仿宋" w:hint="eastAsia"/>
          <w:sz w:val="32"/>
          <w:szCs w:val="32"/>
        </w:rPr>
        <w:t>，结收比为33.33%。</w:t>
      </w:r>
    </w:p>
    <w:p w:rsidR="002923D6" w:rsidRDefault="002923D6" w:rsidP="003E7F9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执行案件</w:t>
      </w:r>
      <w:r w:rsidR="00837CC8">
        <w:rPr>
          <w:rFonts w:ascii="仿宋" w:eastAsia="仿宋" w:hAnsi="仿宋" w:hint="eastAsia"/>
          <w:sz w:val="32"/>
          <w:szCs w:val="32"/>
        </w:rPr>
        <w:t>受案数为</w:t>
      </w:r>
      <w:r w:rsidR="002E67E2">
        <w:rPr>
          <w:rFonts w:ascii="仿宋" w:eastAsia="仿宋" w:hAnsi="仿宋" w:hint="eastAsia"/>
          <w:sz w:val="32"/>
          <w:szCs w:val="32"/>
        </w:rPr>
        <w:t>115</w:t>
      </w:r>
      <w:r w:rsidR="00837CC8">
        <w:rPr>
          <w:rFonts w:ascii="仿宋" w:eastAsia="仿宋" w:hAnsi="仿宋" w:hint="eastAsia"/>
          <w:sz w:val="32"/>
          <w:szCs w:val="32"/>
        </w:rPr>
        <w:t>件</w:t>
      </w:r>
      <w:r w:rsidR="002E67E2">
        <w:rPr>
          <w:rFonts w:ascii="仿宋" w:eastAsia="仿宋" w:hAnsi="仿宋" w:hint="eastAsia"/>
          <w:sz w:val="32"/>
          <w:szCs w:val="32"/>
        </w:rPr>
        <w:t>。其中，旧存16件，新收99件；执结38件，执结率33.04</w:t>
      </w:r>
      <w:r w:rsidR="00837CC8">
        <w:rPr>
          <w:rFonts w:ascii="仿宋" w:eastAsia="仿宋" w:hAnsi="仿宋" w:hint="eastAsia"/>
          <w:sz w:val="32"/>
          <w:szCs w:val="32"/>
        </w:rPr>
        <w:t>%，</w:t>
      </w:r>
      <w:r w:rsidR="002E67E2">
        <w:rPr>
          <w:rFonts w:ascii="仿宋" w:eastAsia="仿宋" w:hAnsi="仿宋" w:hint="eastAsia"/>
          <w:sz w:val="32"/>
          <w:szCs w:val="32"/>
        </w:rPr>
        <w:t>结收比为38.38%</w:t>
      </w:r>
      <w:r w:rsidR="00837CC8">
        <w:rPr>
          <w:rFonts w:ascii="仿宋" w:eastAsia="仿宋" w:hAnsi="仿宋" w:hint="eastAsia"/>
          <w:sz w:val="32"/>
          <w:szCs w:val="32"/>
        </w:rPr>
        <w:t>。</w:t>
      </w:r>
    </w:p>
    <w:p w:rsidR="002E67E2" w:rsidRPr="002E67E2" w:rsidRDefault="002E67E2" w:rsidP="00633EEE">
      <w:pPr>
        <w:spacing w:afterLines="10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非诉保全审查案件新收1件，暂未审结。</w:t>
      </w:r>
    </w:p>
    <w:p w:rsidR="00BE74C7" w:rsidRDefault="00997602" w:rsidP="008F045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581650" cy="3253740"/>
            <wp:effectExtent l="19050" t="0" r="19050" b="381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27FE" w:rsidRDefault="00C827FE" w:rsidP="00FA18A1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F6793E" w:rsidRDefault="00C827FE" w:rsidP="006F45C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433060" cy="3764280"/>
            <wp:effectExtent l="19050" t="0" r="15240" b="762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5FC2" w:rsidRPr="00A95FC2" w:rsidRDefault="00980DC1" w:rsidP="00F6793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（二）审判质效</w:t>
      </w:r>
      <w:r w:rsidR="00A95FC2" w:rsidRPr="00A95FC2">
        <w:rPr>
          <w:rFonts w:ascii="仿宋" w:eastAsia="仿宋" w:hAnsi="仿宋" w:hint="eastAsia"/>
          <w:b/>
          <w:sz w:val="32"/>
          <w:szCs w:val="32"/>
        </w:rPr>
        <w:t>情况</w:t>
      </w:r>
    </w:p>
    <w:p w:rsidR="00A95FC2" w:rsidRDefault="00A95FC2" w:rsidP="00FA18A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787527">
        <w:rPr>
          <w:rFonts w:ascii="仿宋" w:eastAsia="仿宋" w:hAnsi="仿宋" w:hint="eastAsia"/>
          <w:sz w:val="32"/>
          <w:szCs w:val="32"/>
        </w:rPr>
        <w:t>2019年第一季度，无被上级法院发回、改判案件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87527" w:rsidRDefault="00787527" w:rsidP="0078752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2、一审案件简易程序适用率有所下降。</w:t>
      </w:r>
      <w:r w:rsidR="002B677F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年第一季度，适用简易程序审结47件（刑事4件、民事43件），同比下降4.44个百分点。</w:t>
      </w:r>
    </w:p>
    <w:p w:rsidR="002B677F" w:rsidRDefault="002B677F" w:rsidP="0078752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3、诉讼案件平均审理天数为55.1天，同比增长18.7天。</w:t>
      </w:r>
    </w:p>
    <w:p w:rsidR="002B677F" w:rsidRDefault="002B677F" w:rsidP="0078752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4、上诉案件平均移送天数。</w:t>
      </w:r>
      <w:r w:rsidR="00481E1B">
        <w:rPr>
          <w:rFonts w:ascii="仿宋" w:eastAsia="仿宋" w:hAnsi="仿宋" w:hint="eastAsia"/>
          <w:sz w:val="32"/>
          <w:szCs w:val="32"/>
        </w:rPr>
        <w:t>截至3月31日，全院上诉案件平均移送天数为41.22天，低于本地区平均流转周期（88.00天）。</w:t>
      </w:r>
    </w:p>
    <w:p w:rsidR="00481E1B" w:rsidRDefault="00481E1B" w:rsidP="0078752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5、人均结案数。截至3月31日，全院人均收案8.27件，人均结案3.67件。</w:t>
      </w:r>
    </w:p>
    <w:p w:rsidR="00481E1B" w:rsidRDefault="00481E1B" w:rsidP="00481E1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6、一审</w:t>
      </w:r>
      <w:r w:rsidRPr="002D5024">
        <w:rPr>
          <w:rFonts w:ascii="仿宋" w:eastAsia="仿宋" w:hAnsi="仿宋" w:hint="eastAsia"/>
          <w:sz w:val="32"/>
          <w:szCs w:val="32"/>
        </w:rPr>
        <w:t>案件服判</w:t>
      </w:r>
      <w:r w:rsidR="00A00688" w:rsidRPr="002D5024">
        <w:rPr>
          <w:rFonts w:ascii="仿宋" w:eastAsia="仿宋" w:hAnsi="仿宋" w:hint="eastAsia"/>
          <w:sz w:val="32"/>
          <w:szCs w:val="32"/>
        </w:rPr>
        <w:t>息诉</w:t>
      </w:r>
      <w:r>
        <w:rPr>
          <w:rFonts w:ascii="仿宋" w:eastAsia="仿宋" w:hAnsi="仿宋" w:hint="eastAsia"/>
          <w:sz w:val="32"/>
          <w:szCs w:val="32"/>
        </w:rPr>
        <w:t>率。</w:t>
      </w:r>
      <w:r w:rsidR="00A00688">
        <w:rPr>
          <w:rFonts w:ascii="仿宋" w:eastAsia="仿宋" w:hAnsi="仿宋" w:hint="eastAsia"/>
          <w:sz w:val="32"/>
          <w:szCs w:val="32"/>
        </w:rPr>
        <w:t>2020年第一季度，全院无上诉案件，一审案件服判息诉率为100%，同比</w:t>
      </w:r>
      <w:r w:rsidR="00961921">
        <w:rPr>
          <w:rFonts w:ascii="仿宋" w:eastAsia="仿宋" w:hAnsi="仿宋" w:hint="eastAsia"/>
          <w:sz w:val="32"/>
          <w:szCs w:val="32"/>
        </w:rPr>
        <w:t>上升</w:t>
      </w:r>
      <w:r w:rsidR="00A00688">
        <w:rPr>
          <w:rFonts w:ascii="仿宋" w:eastAsia="仿宋" w:hAnsi="仿宋" w:hint="eastAsia"/>
          <w:sz w:val="32"/>
          <w:szCs w:val="32"/>
        </w:rPr>
        <w:t>6.06个百分点。</w:t>
      </w:r>
    </w:p>
    <w:p w:rsidR="00481E1B" w:rsidRPr="00481E1B" w:rsidRDefault="00790906" w:rsidP="0096192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7、生效案件申请再审、申诉率。2020年第一季度，受理生效案件申请再审、申诉案件1件，生效案件申请再审、申诉率为1.47%，同比减少0.36个百分点。</w:t>
      </w:r>
    </w:p>
    <w:p w:rsidR="00FA18A1" w:rsidRDefault="00961921" w:rsidP="00FA18A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527A8A">
        <w:rPr>
          <w:rFonts w:ascii="仿宋" w:eastAsia="仿宋" w:hAnsi="仿宋" w:hint="eastAsia"/>
          <w:sz w:val="32"/>
          <w:szCs w:val="32"/>
        </w:rPr>
        <w:t>、案件调撤</w:t>
      </w:r>
      <w:r w:rsidR="00FA18A1">
        <w:rPr>
          <w:rFonts w:ascii="仿宋" w:eastAsia="仿宋" w:hAnsi="仿宋" w:hint="eastAsia"/>
          <w:sz w:val="32"/>
          <w:szCs w:val="32"/>
        </w:rPr>
        <w:t>率</w:t>
      </w:r>
      <w:r w:rsidR="00527A8A">
        <w:rPr>
          <w:rFonts w:ascii="仿宋" w:eastAsia="仿宋" w:hAnsi="仿宋" w:hint="eastAsia"/>
          <w:sz w:val="32"/>
          <w:szCs w:val="32"/>
        </w:rPr>
        <w:t>有所下降。</w:t>
      </w:r>
      <w:r>
        <w:rPr>
          <w:rFonts w:ascii="仿宋" w:eastAsia="仿宋" w:hAnsi="仿宋" w:hint="eastAsia"/>
          <w:sz w:val="32"/>
          <w:szCs w:val="32"/>
        </w:rPr>
        <w:t>民事已结案件中调撤37件，行政已结案件中撤诉1件。</w:t>
      </w:r>
      <w:r w:rsidR="00527A8A">
        <w:rPr>
          <w:rFonts w:ascii="仿宋" w:eastAsia="仿宋" w:hAnsi="仿宋" w:hint="eastAsia"/>
          <w:sz w:val="32"/>
          <w:szCs w:val="32"/>
        </w:rPr>
        <w:t>调撤率为</w:t>
      </w:r>
      <w:r>
        <w:rPr>
          <w:rFonts w:ascii="仿宋" w:eastAsia="仿宋" w:hAnsi="仿宋" w:hint="eastAsia"/>
          <w:sz w:val="32"/>
          <w:szCs w:val="32"/>
        </w:rPr>
        <w:t>69.09</w:t>
      </w:r>
      <w:r w:rsidR="00527A8A">
        <w:rPr>
          <w:rFonts w:ascii="仿宋" w:eastAsia="仿宋" w:hAnsi="仿宋" w:hint="eastAsia"/>
          <w:sz w:val="32"/>
          <w:szCs w:val="32"/>
        </w:rPr>
        <w:t>%，同比</w:t>
      </w:r>
      <w:r>
        <w:rPr>
          <w:rFonts w:ascii="仿宋" w:eastAsia="仿宋" w:hAnsi="仿宋" w:hint="eastAsia"/>
          <w:sz w:val="32"/>
          <w:szCs w:val="32"/>
        </w:rPr>
        <w:t>上升27.91</w:t>
      </w:r>
      <w:r w:rsidR="00527A8A">
        <w:rPr>
          <w:rFonts w:ascii="仿宋" w:eastAsia="仿宋" w:hAnsi="仿宋" w:hint="eastAsia"/>
          <w:sz w:val="32"/>
          <w:szCs w:val="32"/>
        </w:rPr>
        <w:t>个百分点</w:t>
      </w:r>
      <w:r w:rsidR="00E10DCC">
        <w:rPr>
          <w:rFonts w:ascii="仿宋" w:eastAsia="仿宋" w:hAnsi="仿宋" w:hint="eastAsia"/>
          <w:sz w:val="32"/>
          <w:szCs w:val="32"/>
        </w:rPr>
        <w:t>。</w:t>
      </w:r>
    </w:p>
    <w:p w:rsidR="008F1DDE" w:rsidRDefault="001C1F35" w:rsidP="00DD781F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/>
          <w:b/>
          <w:sz w:val="32"/>
          <w:szCs w:val="32"/>
        </w:rPr>
        <w:t>司法公开情况统计</w:t>
      </w:r>
    </w:p>
    <w:p w:rsidR="001C1F35" w:rsidRDefault="001C1F35" w:rsidP="00DD781F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（一）裁判文书</w:t>
      </w:r>
      <w:r w:rsidR="00F33284">
        <w:rPr>
          <w:rFonts w:ascii="仿宋" w:eastAsia="仿宋" w:hAnsi="仿宋" w:hint="eastAsia"/>
          <w:b/>
          <w:sz w:val="32"/>
          <w:szCs w:val="32"/>
        </w:rPr>
        <w:t>上网情况</w:t>
      </w:r>
    </w:p>
    <w:p w:rsidR="00F33284" w:rsidRPr="00F6793E" w:rsidRDefault="00F33284" w:rsidP="00633EEE">
      <w:pPr>
        <w:spacing w:afterLines="5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383715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年第一季度，</w:t>
      </w:r>
      <w:r w:rsidR="008C0100">
        <w:rPr>
          <w:rFonts w:ascii="仿宋" w:eastAsia="仿宋" w:hAnsi="仿宋" w:hint="eastAsia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中国裁判文书网</w:t>
      </w:r>
      <w:r w:rsidR="008C0100">
        <w:rPr>
          <w:rFonts w:ascii="仿宋" w:eastAsia="仿宋" w:hAnsi="仿宋" w:hint="eastAsia"/>
          <w:sz w:val="32"/>
          <w:szCs w:val="32"/>
        </w:rPr>
        <w:t>累计</w:t>
      </w:r>
      <w:r w:rsidR="00DD781F">
        <w:rPr>
          <w:rFonts w:ascii="仿宋" w:eastAsia="仿宋" w:hAnsi="仿宋" w:hint="eastAsia"/>
          <w:sz w:val="32"/>
          <w:szCs w:val="32"/>
        </w:rPr>
        <w:t>上传</w:t>
      </w:r>
      <w:r w:rsidR="00120F06">
        <w:rPr>
          <w:rFonts w:ascii="仿宋" w:eastAsia="仿宋" w:hAnsi="仿宋" w:hint="eastAsia"/>
          <w:sz w:val="32"/>
          <w:szCs w:val="32"/>
        </w:rPr>
        <w:t>裁判文书137篇，</w:t>
      </w:r>
      <w:r w:rsidR="00427C46">
        <w:rPr>
          <w:rFonts w:ascii="仿宋" w:eastAsia="仿宋" w:hAnsi="仿宋" w:hint="eastAsia"/>
          <w:sz w:val="32"/>
          <w:szCs w:val="32"/>
        </w:rPr>
        <w:t>在当年作出的裁判文书为107篇，</w:t>
      </w:r>
      <w:r w:rsidR="00120F06">
        <w:rPr>
          <w:rFonts w:ascii="仿宋" w:eastAsia="仿宋" w:hAnsi="仿宋" w:hint="eastAsia"/>
          <w:sz w:val="32"/>
          <w:szCs w:val="32"/>
        </w:rPr>
        <w:t>其中：上网文书</w:t>
      </w:r>
      <w:r w:rsidR="00427C46">
        <w:rPr>
          <w:rFonts w:ascii="仿宋" w:eastAsia="仿宋" w:hAnsi="仿宋" w:hint="eastAsia"/>
          <w:sz w:val="32"/>
          <w:szCs w:val="32"/>
        </w:rPr>
        <w:t>77</w:t>
      </w:r>
      <w:r w:rsidR="00120F06">
        <w:rPr>
          <w:rFonts w:ascii="仿宋" w:eastAsia="仿宋" w:hAnsi="仿宋" w:hint="eastAsia"/>
          <w:sz w:val="32"/>
          <w:szCs w:val="32"/>
        </w:rPr>
        <w:t>篇，经审批不上网文书</w:t>
      </w:r>
      <w:r w:rsidR="00427C46">
        <w:rPr>
          <w:rFonts w:ascii="仿宋" w:eastAsia="仿宋" w:hAnsi="仿宋" w:hint="eastAsia"/>
          <w:sz w:val="32"/>
          <w:szCs w:val="32"/>
        </w:rPr>
        <w:t>30</w:t>
      </w:r>
      <w:r w:rsidR="00120F06">
        <w:rPr>
          <w:rFonts w:ascii="仿宋" w:eastAsia="仿宋" w:hAnsi="仿宋" w:hint="eastAsia"/>
          <w:sz w:val="32"/>
          <w:szCs w:val="32"/>
        </w:rPr>
        <w:t>篇</w:t>
      </w:r>
      <w:r w:rsidR="00427C46">
        <w:rPr>
          <w:rFonts w:ascii="仿宋" w:eastAsia="仿宋" w:hAnsi="仿宋" w:hint="eastAsia"/>
          <w:sz w:val="32"/>
          <w:szCs w:val="32"/>
        </w:rPr>
        <w:t>，上网率为74.76%</w:t>
      </w:r>
      <w:r w:rsidR="00D90EDF">
        <w:rPr>
          <w:rFonts w:ascii="仿宋" w:eastAsia="仿宋" w:hAnsi="仿宋" w:hint="eastAsia"/>
          <w:sz w:val="32"/>
          <w:szCs w:val="32"/>
        </w:rPr>
        <w:t>，</w:t>
      </w:r>
      <w:r w:rsidR="00D90EDF" w:rsidRPr="00F6793E">
        <w:rPr>
          <w:rFonts w:ascii="仿宋" w:eastAsia="仿宋" w:hAnsi="仿宋" w:hint="eastAsia"/>
          <w:sz w:val="32"/>
          <w:szCs w:val="32"/>
        </w:rPr>
        <w:t>高于省、中院绩效考核要求的55.00%</w:t>
      </w:r>
      <w:r w:rsidR="005C3FF7" w:rsidRPr="00F6793E">
        <w:rPr>
          <w:rFonts w:ascii="仿宋" w:eastAsia="仿宋" w:hAnsi="仿宋" w:hint="eastAsia"/>
          <w:sz w:val="32"/>
          <w:szCs w:val="32"/>
        </w:rPr>
        <w:t>，超额完成指标。</w:t>
      </w:r>
    </w:p>
    <w:tbl>
      <w:tblPr>
        <w:tblStyle w:val="1-1"/>
        <w:tblW w:w="0" w:type="auto"/>
        <w:jc w:val="center"/>
        <w:tblInd w:w="250" w:type="dxa"/>
        <w:tblLook w:val="04A0"/>
      </w:tblPr>
      <w:tblGrid>
        <w:gridCol w:w="1259"/>
        <w:gridCol w:w="1435"/>
        <w:gridCol w:w="2809"/>
        <w:gridCol w:w="1918"/>
      </w:tblGrid>
      <w:tr w:rsidR="00310D4D" w:rsidTr="00347256">
        <w:trPr>
          <w:cnfStyle w:val="100000000000"/>
          <w:trHeight w:val="589"/>
          <w:jc w:val="center"/>
        </w:trPr>
        <w:tc>
          <w:tcPr>
            <w:cnfStyle w:val="001000000000"/>
            <w:tcW w:w="1259" w:type="dxa"/>
          </w:tcPr>
          <w:p w:rsidR="00310D4D" w:rsidRDefault="00310D4D" w:rsidP="00310D4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上网数</w:t>
            </w:r>
          </w:p>
        </w:tc>
        <w:tc>
          <w:tcPr>
            <w:tcW w:w="1435" w:type="dxa"/>
          </w:tcPr>
          <w:p w:rsidR="00310D4D" w:rsidRDefault="00310D4D" w:rsidP="00310D4D">
            <w:pPr>
              <w:jc w:val="center"/>
              <w:cnfStyle w:val="1000000000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结案数</w:t>
            </w:r>
          </w:p>
        </w:tc>
        <w:tc>
          <w:tcPr>
            <w:tcW w:w="2809" w:type="dxa"/>
          </w:tcPr>
          <w:p w:rsidR="00310D4D" w:rsidRDefault="00310D4D" w:rsidP="00310D4D">
            <w:pPr>
              <w:jc w:val="center"/>
              <w:cnfStyle w:val="1000000000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经审批不上网数</w:t>
            </w:r>
          </w:p>
        </w:tc>
        <w:tc>
          <w:tcPr>
            <w:tcW w:w="1918" w:type="dxa"/>
          </w:tcPr>
          <w:p w:rsidR="00310D4D" w:rsidRPr="00310D4D" w:rsidRDefault="00310D4D" w:rsidP="00310D4D">
            <w:pPr>
              <w:jc w:val="center"/>
              <w:cnfStyle w:val="100000000000"/>
              <w:rPr>
                <w:rFonts w:ascii="仿宋" w:eastAsia="仿宋" w:hAnsi="仿宋"/>
                <w:sz w:val="32"/>
                <w:szCs w:val="32"/>
              </w:rPr>
            </w:pPr>
            <w:r w:rsidRPr="00310D4D">
              <w:rPr>
                <w:rFonts w:ascii="仿宋" w:eastAsia="仿宋" w:hAnsi="仿宋" w:hint="eastAsia"/>
                <w:sz w:val="32"/>
                <w:szCs w:val="32"/>
              </w:rPr>
              <w:t>上网率</w:t>
            </w:r>
          </w:p>
        </w:tc>
      </w:tr>
      <w:tr w:rsidR="00310D4D" w:rsidTr="00347256">
        <w:trPr>
          <w:cnfStyle w:val="000000100000"/>
          <w:trHeight w:val="357"/>
          <w:jc w:val="center"/>
        </w:trPr>
        <w:tc>
          <w:tcPr>
            <w:cnfStyle w:val="001000000000"/>
            <w:tcW w:w="1259" w:type="dxa"/>
          </w:tcPr>
          <w:p w:rsidR="00310D4D" w:rsidRPr="00DF1CEF" w:rsidRDefault="00310D4D" w:rsidP="00310D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F1CEF">
              <w:rPr>
                <w:rFonts w:ascii="仿宋" w:eastAsia="仿宋" w:hAnsi="仿宋" w:hint="eastAsia"/>
                <w:sz w:val="30"/>
                <w:szCs w:val="30"/>
              </w:rPr>
              <w:t>77</w:t>
            </w:r>
          </w:p>
        </w:tc>
        <w:tc>
          <w:tcPr>
            <w:tcW w:w="1435" w:type="dxa"/>
          </w:tcPr>
          <w:p w:rsidR="00310D4D" w:rsidRPr="00DF1CEF" w:rsidRDefault="00310D4D" w:rsidP="00310D4D">
            <w:pPr>
              <w:jc w:val="center"/>
              <w:cnfStyle w:val="000000100000"/>
              <w:rPr>
                <w:rFonts w:ascii="仿宋" w:eastAsia="仿宋" w:hAnsi="仿宋"/>
                <w:sz w:val="30"/>
                <w:szCs w:val="30"/>
              </w:rPr>
            </w:pPr>
            <w:r w:rsidRPr="00DF1CEF">
              <w:rPr>
                <w:rFonts w:ascii="仿宋" w:eastAsia="仿宋" w:hAnsi="仿宋" w:hint="eastAsia"/>
                <w:sz w:val="30"/>
                <w:szCs w:val="30"/>
              </w:rPr>
              <w:t>133</w:t>
            </w:r>
          </w:p>
        </w:tc>
        <w:tc>
          <w:tcPr>
            <w:tcW w:w="2809" w:type="dxa"/>
          </w:tcPr>
          <w:p w:rsidR="00310D4D" w:rsidRPr="00DF1CEF" w:rsidRDefault="00310D4D" w:rsidP="00310D4D">
            <w:pPr>
              <w:jc w:val="center"/>
              <w:cnfStyle w:val="000000100000"/>
              <w:rPr>
                <w:rFonts w:ascii="仿宋" w:eastAsia="仿宋" w:hAnsi="仿宋"/>
                <w:sz w:val="30"/>
                <w:szCs w:val="30"/>
              </w:rPr>
            </w:pPr>
            <w:r w:rsidRPr="00DF1CE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1918" w:type="dxa"/>
          </w:tcPr>
          <w:p w:rsidR="00310D4D" w:rsidRPr="00DF1CEF" w:rsidRDefault="00310D4D" w:rsidP="00310D4D">
            <w:pPr>
              <w:jc w:val="center"/>
              <w:cnfStyle w:val="000000100000"/>
              <w:rPr>
                <w:rFonts w:ascii="仿宋" w:eastAsia="仿宋" w:hAnsi="仿宋"/>
                <w:sz w:val="30"/>
                <w:szCs w:val="30"/>
              </w:rPr>
            </w:pPr>
            <w:r w:rsidRPr="00DF1CEF">
              <w:rPr>
                <w:rFonts w:ascii="仿宋" w:eastAsia="仿宋" w:hAnsi="仿宋" w:hint="eastAsia"/>
                <w:sz w:val="30"/>
                <w:szCs w:val="30"/>
              </w:rPr>
              <w:t>74.76%</w:t>
            </w:r>
          </w:p>
        </w:tc>
      </w:tr>
    </w:tbl>
    <w:p w:rsidR="00DD781F" w:rsidRDefault="00DD781F" w:rsidP="00633EEE">
      <w:pPr>
        <w:spacing w:beforeLines="5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D781F">
        <w:rPr>
          <w:rFonts w:ascii="仿宋" w:eastAsia="仿宋" w:hAnsi="仿宋" w:hint="eastAsia"/>
          <w:b/>
          <w:sz w:val="32"/>
          <w:szCs w:val="32"/>
        </w:rPr>
        <w:t>（二）庭审直播情况</w:t>
      </w:r>
    </w:p>
    <w:p w:rsidR="008C0100" w:rsidRPr="00F6793E" w:rsidRDefault="008C0100" w:rsidP="008C01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第一季度，</w:t>
      </w:r>
      <w:r w:rsidR="00347256">
        <w:rPr>
          <w:rFonts w:ascii="仿宋" w:eastAsia="仿宋" w:hAnsi="仿宋" w:hint="eastAsia"/>
          <w:sz w:val="32"/>
          <w:szCs w:val="32"/>
        </w:rPr>
        <w:t>全院共10位法官使用庭审直播，</w:t>
      </w:r>
      <w:r w:rsidR="006A7B24">
        <w:rPr>
          <w:rFonts w:ascii="仿宋" w:eastAsia="仿宋" w:hAnsi="仿宋" w:hint="eastAsia"/>
          <w:sz w:val="32"/>
          <w:szCs w:val="32"/>
        </w:rPr>
        <w:t>直播案件数</w:t>
      </w:r>
      <w:r w:rsidR="00A21E2A">
        <w:rPr>
          <w:rFonts w:ascii="仿宋" w:eastAsia="仿宋" w:hAnsi="仿宋" w:hint="eastAsia"/>
          <w:sz w:val="32"/>
          <w:szCs w:val="32"/>
        </w:rPr>
        <w:t>27</w:t>
      </w:r>
      <w:r w:rsidR="005903F5">
        <w:rPr>
          <w:rFonts w:ascii="仿宋" w:eastAsia="仿宋" w:hAnsi="仿宋" w:hint="eastAsia"/>
          <w:sz w:val="32"/>
          <w:szCs w:val="32"/>
        </w:rPr>
        <w:t>次，庭审直播率为</w:t>
      </w:r>
      <w:r w:rsidR="0050654C">
        <w:rPr>
          <w:rFonts w:ascii="仿宋" w:eastAsia="仿宋" w:hAnsi="仿宋" w:hint="eastAsia"/>
          <w:sz w:val="32"/>
          <w:szCs w:val="32"/>
        </w:rPr>
        <w:t>18.00</w:t>
      </w:r>
      <w:r w:rsidR="005903F5">
        <w:rPr>
          <w:rFonts w:ascii="仿宋" w:eastAsia="仿宋" w:hAnsi="仿宋" w:hint="eastAsia"/>
          <w:sz w:val="32"/>
          <w:szCs w:val="32"/>
        </w:rPr>
        <w:t>%</w:t>
      </w:r>
      <w:r w:rsidR="00347256">
        <w:rPr>
          <w:rFonts w:ascii="仿宋" w:eastAsia="仿宋" w:hAnsi="仿宋" w:hint="eastAsia"/>
          <w:sz w:val="32"/>
          <w:szCs w:val="32"/>
        </w:rPr>
        <w:t>。</w:t>
      </w:r>
      <w:r w:rsidR="0050654C">
        <w:rPr>
          <w:rFonts w:ascii="仿宋" w:eastAsia="仿宋" w:hAnsi="仿宋" w:hint="eastAsia"/>
          <w:sz w:val="32"/>
          <w:szCs w:val="32"/>
        </w:rPr>
        <w:t>低</w:t>
      </w:r>
      <w:r w:rsidR="001078E9" w:rsidRPr="00F6793E">
        <w:rPr>
          <w:rFonts w:ascii="仿宋" w:eastAsia="仿宋" w:hAnsi="仿宋" w:hint="eastAsia"/>
          <w:sz w:val="32"/>
          <w:szCs w:val="32"/>
        </w:rPr>
        <w:t>于省、中院绩效考核要求占比达到的20.00%</w:t>
      </w:r>
      <w:r w:rsidR="0050654C">
        <w:rPr>
          <w:rFonts w:ascii="仿宋" w:eastAsia="仿宋" w:hAnsi="仿宋" w:hint="eastAsia"/>
          <w:sz w:val="32"/>
          <w:szCs w:val="32"/>
        </w:rPr>
        <w:t>，未</w:t>
      </w:r>
      <w:r w:rsidR="001078E9" w:rsidRPr="00F6793E">
        <w:rPr>
          <w:rFonts w:ascii="仿宋" w:eastAsia="仿宋" w:hAnsi="仿宋" w:hint="eastAsia"/>
          <w:sz w:val="32"/>
          <w:szCs w:val="32"/>
        </w:rPr>
        <w:t>完成指标。</w:t>
      </w:r>
    </w:p>
    <w:p w:rsidR="00DD781F" w:rsidRDefault="00DD781F" w:rsidP="00DB6B3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D781F">
        <w:rPr>
          <w:rFonts w:ascii="仿宋" w:eastAsia="仿宋" w:hAnsi="仿宋" w:hint="eastAsia"/>
          <w:b/>
          <w:sz w:val="32"/>
          <w:szCs w:val="32"/>
        </w:rPr>
        <w:t>三、</w:t>
      </w:r>
      <w:r w:rsidR="00DB6B33">
        <w:rPr>
          <w:rFonts w:ascii="仿宋" w:eastAsia="仿宋" w:hAnsi="仿宋" w:hint="eastAsia"/>
          <w:b/>
          <w:sz w:val="32"/>
          <w:szCs w:val="32"/>
        </w:rPr>
        <w:t>卷宗归档情况统计</w:t>
      </w:r>
    </w:p>
    <w:p w:rsidR="00DB6B33" w:rsidRDefault="00E17D4C" w:rsidP="00DB6B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第一季度</w:t>
      </w:r>
      <w:r w:rsidR="00DB6B33">
        <w:rPr>
          <w:rFonts w:ascii="仿宋" w:eastAsia="仿宋" w:hAnsi="仿宋"/>
          <w:sz w:val="32"/>
          <w:szCs w:val="32"/>
        </w:rPr>
        <w:t>截至</w:t>
      </w:r>
      <w:r w:rsidR="00DB6B33">
        <w:rPr>
          <w:rFonts w:ascii="仿宋" w:eastAsia="仿宋" w:hAnsi="仿宋" w:hint="eastAsia"/>
          <w:sz w:val="32"/>
          <w:szCs w:val="32"/>
        </w:rPr>
        <w:t>2月28日</w:t>
      </w:r>
      <w:r>
        <w:rPr>
          <w:rFonts w:ascii="仿宋" w:eastAsia="仿宋" w:hAnsi="仿宋" w:hint="eastAsia"/>
          <w:sz w:val="32"/>
          <w:szCs w:val="32"/>
        </w:rPr>
        <w:t>，全院</w:t>
      </w:r>
      <w:r w:rsidR="008F045D">
        <w:rPr>
          <w:rFonts w:ascii="仿宋" w:eastAsia="仿宋" w:hAnsi="仿宋" w:hint="eastAsia"/>
          <w:sz w:val="32"/>
          <w:szCs w:val="32"/>
        </w:rPr>
        <w:t>共</w:t>
      </w:r>
      <w:r>
        <w:rPr>
          <w:rFonts w:ascii="仿宋" w:eastAsia="仿宋" w:hAnsi="仿宋" w:hint="eastAsia"/>
          <w:sz w:val="32"/>
          <w:szCs w:val="32"/>
        </w:rPr>
        <w:t>审结64件案件纸质档案和电子档案</w:t>
      </w:r>
      <w:r w:rsidR="009D4B8E">
        <w:rPr>
          <w:rFonts w:ascii="仿宋" w:eastAsia="仿宋" w:hAnsi="仿宋" w:hint="eastAsia"/>
          <w:sz w:val="32"/>
          <w:szCs w:val="32"/>
        </w:rPr>
        <w:t>在</w:t>
      </w:r>
      <w:r w:rsidR="008F045D">
        <w:rPr>
          <w:rFonts w:ascii="仿宋" w:eastAsia="仿宋" w:hAnsi="仿宋" w:hint="eastAsia"/>
          <w:sz w:val="32"/>
          <w:szCs w:val="32"/>
        </w:rPr>
        <w:t>一个月内均已同步归档，归档率为100</w:t>
      </w:r>
      <w:r w:rsidR="00B50E66">
        <w:rPr>
          <w:rFonts w:ascii="仿宋" w:eastAsia="仿宋" w:hAnsi="仿宋" w:hint="eastAsia"/>
          <w:sz w:val="32"/>
          <w:szCs w:val="32"/>
        </w:rPr>
        <w:t>.00</w:t>
      </w:r>
      <w:r w:rsidR="008F045D">
        <w:rPr>
          <w:rFonts w:ascii="仿宋" w:eastAsia="仿宋" w:hAnsi="仿宋" w:hint="eastAsia"/>
          <w:sz w:val="32"/>
          <w:szCs w:val="32"/>
        </w:rPr>
        <w:t>%。</w:t>
      </w:r>
    </w:p>
    <w:p w:rsidR="00383715" w:rsidRDefault="00383715" w:rsidP="00DB6B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F045D" w:rsidRDefault="008F045D" w:rsidP="008F045D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F045D">
        <w:rPr>
          <w:rFonts w:ascii="仿宋" w:eastAsia="仿宋" w:hAnsi="仿宋" w:hint="eastAsia"/>
          <w:b/>
          <w:sz w:val="32"/>
          <w:szCs w:val="32"/>
        </w:rPr>
        <w:lastRenderedPageBreak/>
        <w:t>四、</w:t>
      </w:r>
      <w:r w:rsidR="0086032E">
        <w:rPr>
          <w:rFonts w:ascii="仿宋" w:eastAsia="仿宋" w:hAnsi="仿宋" w:hint="eastAsia"/>
          <w:b/>
          <w:sz w:val="32"/>
          <w:szCs w:val="32"/>
        </w:rPr>
        <w:t>审判</w:t>
      </w:r>
      <w:r w:rsidRPr="008F045D">
        <w:rPr>
          <w:rFonts w:ascii="仿宋" w:eastAsia="仿宋" w:hAnsi="仿宋" w:hint="eastAsia"/>
          <w:b/>
          <w:sz w:val="32"/>
          <w:szCs w:val="32"/>
        </w:rPr>
        <w:t>工作呈现的突出特点及存在的问题</w:t>
      </w:r>
    </w:p>
    <w:p w:rsidR="00633EEE" w:rsidRDefault="00633EEE" w:rsidP="008F045D">
      <w:pPr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一是</w:t>
      </w:r>
    </w:p>
    <w:p w:rsidR="002A2A5C" w:rsidRPr="002A2A5C" w:rsidRDefault="002A2A5C" w:rsidP="008F045D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是均衡结案明显提高。</w:t>
      </w:r>
      <w:r w:rsidRPr="002A2A5C">
        <w:rPr>
          <w:rFonts w:ascii="仿宋" w:eastAsia="仿宋" w:hAnsi="仿宋" w:hint="eastAsia"/>
          <w:sz w:val="32"/>
          <w:szCs w:val="32"/>
        </w:rPr>
        <w:t>第一季度我院均衡分案达到了</w:t>
      </w:r>
      <w:r>
        <w:rPr>
          <w:rFonts w:ascii="仿宋" w:eastAsia="仿宋" w:hAnsi="仿宋" w:hint="eastAsia"/>
          <w:sz w:val="32"/>
          <w:szCs w:val="32"/>
        </w:rPr>
        <w:t>各</w:t>
      </w:r>
      <w:r w:rsidR="00F03C4A">
        <w:rPr>
          <w:rFonts w:ascii="仿宋" w:eastAsia="仿宋" w:hAnsi="仿宋" w:hint="eastAsia"/>
          <w:sz w:val="32"/>
          <w:szCs w:val="32"/>
        </w:rPr>
        <w:t>月的收案及结案量基本一致，实现了各月工作量</w:t>
      </w:r>
      <w:r w:rsidRPr="002A2A5C">
        <w:rPr>
          <w:rFonts w:ascii="仿宋" w:eastAsia="仿宋" w:hAnsi="仿宋" w:hint="eastAsia"/>
          <w:sz w:val="32"/>
          <w:szCs w:val="32"/>
        </w:rPr>
        <w:t>差别不大，避免了忙闲不均恶性循环模式。</w:t>
      </w:r>
    </w:p>
    <w:p w:rsidR="009D4B8E" w:rsidRDefault="002A2A5C" w:rsidP="00CE5882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C85FF0">
        <w:rPr>
          <w:rFonts w:ascii="仿宋" w:eastAsia="仿宋" w:hAnsi="仿宋" w:hint="eastAsia"/>
          <w:b/>
          <w:sz w:val="32"/>
          <w:szCs w:val="32"/>
        </w:rPr>
        <w:t>是</w:t>
      </w:r>
      <w:r w:rsidR="00CE5882">
        <w:rPr>
          <w:rFonts w:ascii="仿宋" w:eastAsia="仿宋" w:hAnsi="仿宋" w:hint="eastAsia"/>
          <w:b/>
          <w:sz w:val="32"/>
          <w:szCs w:val="32"/>
        </w:rPr>
        <w:t>结收比</w:t>
      </w:r>
      <w:r w:rsidR="00C85FF0">
        <w:rPr>
          <w:rFonts w:ascii="仿宋" w:eastAsia="仿宋" w:hAnsi="仿宋" w:hint="eastAsia"/>
          <w:b/>
          <w:sz w:val="32"/>
          <w:szCs w:val="32"/>
        </w:rPr>
        <w:t>、结案率</w:t>
      </w:r>
      <w:r w:rsidR="00CE5882">
        <w:rPr>
          <w:rFonts w:ascii="仿宋" w:eastAsia="仿宋" w:hAnsi="仿宋" w:hint="eastAsia"/>
          <w:b/>
          <w:sz w:val="32"/>
          <w:szCs w:val="32"/>
        </w:rPr>
        <w:t>上升幅度大。</w:t>
      </w:r>
      <w:r w:rsidR="00CE5882">
        <w:rPr>
          <w:rFonts w:ascii="仿宋" w:eastAsia="仿宋" w:hAnsi="仿宋" w:hint="eastAsia"/>
          <w:sz w:val="32"/>
          <w:szCs w:val="32"/>
        </w:rPr>
        <w:t>受实施规范立案以及结收比</w:t>
      </w:r>
      <w:r w:rsidR="00D633C9">
        <w:rPr>
          <w:rFonts w:ascii="仿宋" w:eastAsia="仿宋" w:hAnsi="仿宋" w:hint="eastAsia"/>
          <w:sz w:val="32"/>
          <w:szCs w:val="32"/>
        </w:rPr>
        <w:t>考核</w:t>
      </w:r>
      <w:r w:rsidR="00CE5882">
        <w:rPr>
          <w:rFonts w:ascii="仿宋" w:eastAsia="仿宋" w:hAnsi="仿宋" w:hint="eastAsia"/>
          <w:sz w:val="32"/>
          <w:szCs w:val="32"/>
        </w:rPr>
        <w:t>指标影响，</w:t>
      </w:r>
      <w:r w:rsidR="00FD24D9">
        <w:rPr>
          <w:rFonts w:ascii="仿宋" w:eastAsia="仿宋" w:hAnsi="仿宋" w:hint="eastAsia"/>
          <w:sz w:val="32"/>
          <w:szCs w:val="32"/>
        </w:rPr>
        <w:t>第一季度</w:t>
      </w:r>
      <w:r w:rsidR="00CE5882">
        <w:rPr>
          <w:rFonts w:ascii="仿宋" w:eastAsia="仿宋" w:hAnsi="仿宋" w:hint="eastAsia"/>
          <w:sz w:val="32"/>
          <w:szCs w:val="32"/>
        </w:rPr>
        <w:t>受案数虽与去年同期基本持平，但</w:t>
      </w:r>
      <w:r w:rsidR="00F06C69">
        <w:rPr>
          <w:rFonts w:ascii="仿宋" w:eastAsia="仿宋" w:hAnsi="仿宋" w:hint="eastAsia"/>
          <w:sz w:val="32"/>
          <w:szCs w:val="32"/>
        </w:rPr>
        <w:t>结案数</w:t>
      </w:r>
      <w:r w:rsidR="00CE5882">
        <w:rPr>
          <w:rFonts w:ascii="仿宋" w:eastAsia="仿宋" w:hAnsi="仿宋" w:hint="eastAsia"/>
          <w:sz w:val="32"/>
          <w:szCs w:val="32"/>
        </w:rPr>
        <w:t>却有所提升</w:t>
      </w:r>
      <w:r>
        <w:rPr>
          <w:rFonts w:ascii="仿宋" w:eastAsia="仿宋" w:hAnsi="仿宋" w:hint="eastAsia"/>
          <w:sz w:val="32"/>
          <w:szCs w:val="32"/>
        </w:rPr>
        <w:t>，为</w:t>
      </w:r>
      <w:r w:rsidR="00C410DE">
        <w:rPr>
          <w:rFonts w:ascii="仿宋" w:eastAsia="仿宋" w:hAnsi="仿宋" w:hint="eastAsia"/>
          <w:sz w:val="32"/>
          <w:szCs w:val="32"/>
        </w:rPr>
        <w:t>杜绝年底突击结案打下夯实的基础。</w:t>
      </w:r>
    </w:p>
    <w:p w:rsidR="0050654C" w:rsidRPr="0050654C" w:rsidRDefault="0050654C" w:rsidP="0050654C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50654C">
        <w:rPr>
          <w:rFonts w:ascii="仿宋" w:eastAsia="仿宋" w:hAnsi="仿宋" w:hint="eastAsia"/>
          <w:b/>
          <w:sz w:val="32"/>
          <w:szCs w:val="32"/>
        </w:rPr>
        <w:t>四是</w:t>
      </w:r>
      <w:r>
        <w:rPr>
          <w:rFonts w:ascii="仿宋" w:eastAsia="仿宋" w:hAnsi="仿宋" w:hint="eastAsia"/>
          <w:b/>
          <w:sz w:val="32"/>
          <w:szCs w:val="32"/>
        </w:rPr>
        <w:t>人均直播案件数较低。</w:t>
      </w:r>
      <w:r>
        <w:rPr>
          <w:rFonts w:ascii="仿宋" w:eastAsia="仿宋" w:hAnsi="仿宋" w:hint="eastAsia"/>
          <w:sz w:val="32"/>
          <w:szCs w:val="32"/>
        </w:rPr>
        <w:t>全院共有14位法官审理诉讼案件，但人均直播案件数仅为1.93件，</w:t>
      </w:r>
      <w:r w:rsidR="00BD40C1">
        <w:rPr>
          <w:rFonts w:ascii="仿宋" w:eastAsia="仿宋" w:hAnsi="仿宋" w:hint="eastAsia"/>
          <w:sz w:val="32"/>
          <w:szCs w:val="32"/>
        </w:rPr>
        <w:t>法官</w:t>
      </w:r>
      <w:r w:rsidR="00507807">
        <w:rPr>
          <w:rFonts w:ascii="仿宋" w:eastAsia="仿宋" w:hAnsi="仿宋" w:hint="eastAsia"/>
          <w:sz w:val="32"/>
          <w:szCs w:val="32"/>
        </w:rPr>
        <w:t>之间</w:t>
      </w:r>
      <w:r w:rsidR="00BD40C1">
        <w:rPr>
          <w:rFonts w:ascii="仿宋" w:eastAsia="仿宋" w:hAnsi="仿宋" w:hint="eastAsia"/>
          <w:sz w:val="32"/>
          <w:szCs w:val="32"/>
        </w:rPr>
        <w:t>案件直播数不均衡</w:t>
      </w:r>
      <w:r w:rsidR="00507807">
        <w:rPr>
          <w:rFonts w:ascii="仿宋" w:eastAsia="仿宋" w:hAnsi="仿宋" w:hint="eastAsia"/>
          <w:sz w:val="32"/>
          <w:szCs w:val="32"/>
        </w:rPr>
        <w:t>。</w:t>
      </w:r>
    </w:p>
    <w:p w:rsidR="00370106" w:rsidRPr="00370106" w:rsidRDefault="00370106" w:rsidP="00370106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370106">
        <w:rPr>
          <w:rFonts w:ascii="仿宋" w:eastAsia="仿宋" w:hAnsi="仿宋" w:hint="eastAsia"/>
          <w:b/>
          <w:sz w:val="32"/>
          <w:szCs w:val="32"/>
        </w:rPr>
        <w:t>五、下一步工作建议</w:t>
      </w:r>
    </w:p>
    <w:p w:rsidR="004A49F0" w:rsidRPr="004A49F0" w:rsidRDefault="004A49F0" w:rsidP="004A49F0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4A49F0">
        <w:rPr>
          <w:rFonts w:ascii="仿宋" w:eastAsia="仿宋" w:hAnsi="仿宋" w:hint="eastAsia"/>
          <w:b/>
          <w:sz w:val="32"/>
          <w:szCs w:val="32"/>
        </w:rPr>
        <w:t>（一）发挥院庭长审判管理职能</w:t>
      </w:r>
    </w:p>
    <w:p w:rsidR="004A49F0" w:rsidRDefault="004A49F0" w:rsidP="004A49F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A49F0">
        <w:rPr>
          <w:rFonts w:ascii="仿宋" w:eastAsia="仿宋" w:hAnsi="仿宋" w:hint="eastAsia"/>
          <w:sz w:val="32"/>
          <w:szCs w:val="32"/>
        </w:rPr>
        <w:t>要继续强化庭（局）长在审判管理中最直接、最基础的作用，运用各种审</w:t>
      </w:r>
      <w:r w:rsidR="00991958">
        <w:rPr>
          <w:rFonts w:ascii="仿宋" w:eastAsia="仿宋" w:hAnsi="仿宋" w:hint="eastAsia"/>
          <w:sz w:val="32"/>
          <w:szCs w:val="32"/>
        </w:rPr>
        <w:t>判管理手段对部门审判质效进行动态控制，提高审判质效。</w:t>
      </w:r>
    </w:p>
    <w:p w:rsidR="004A49F0" w:rsidRPr="004A49F0" w:rsidRDefault="004A49F0" w:rsidP="004A49F0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4A49F0">
        <w:rPr>
          <w:rFonts w:ascii="仿宋" w:eastAsia="仿宋" w:hAnsi="仿宋" w:hint="eastAsia"/>
          <w:b/>
          <w:sz w:val="32"/>
          <w:szCs w:val="32"/>
        </w:rPr>
        <w:t>（二）加强审判质量管理</w:t>
      </w:r>
    </w:p>
    <w:p w:rsidR="004A49F0" w:rsidRDefault="004A49F0" w:rsidP="004A49F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A49F0">
        <w:rPr>
          <w:rFonts w:ascii="仿宋" w:eastAsia="仿宋" w:hAnsi="仿宋" w:hint="eastAsia"/>
          <w:sz w:val="32"/>
          <w:szCs w:val="32"/>
        </w:rPr>
        <w:t>各业务庭室除了完成审判工作任务外，注意严把案件质</w:t>
      </w:r>
      <w:r w:rsidR="001D6579">
        <w:rPr>
          <w:rFonts w:ascii="仿宋" w:eastAsia="仿宋" w:hAnsi="仿宋" w:hint="eastAsia"/>
          <w:sz w:val="32"/>
          <w:szCs w:val="32"/>
        </w:rPr>
        <w:t>量关；坚决遏制住上诉改判、发回重审案件数</w:t>
      </w:r>
      <w:r w:rsidRPr="004A49F0">
        <w:rPr>
          <w:rFonts w:ascii="仿宋" w:eastAsia="仿宋" w:hAnsi="仿宋" w:hint="eastAsia"/>
          <w:sz w:val="32"/>
          <w:szCs w:val="32"/>
        </w:rPr>
        <w:t>。强化审限意识，规范期限管理，加强对承办人办案的督办和催办。业务上注重部门之间、法官之间的学习交流</w:t>
      </w:r>
      <w:r w:rsidR="001D6579">
        <w:rPr>
          <w:rFonts w:ascii="仿宋" w:eastAsia="仿宋" w:hAnsi="仿宋" w:hint="eastAsia"/>
          <w:sz w:val="32"/>
          <w:szCs w:val="32"/>
        </w:rPr>
        <w:t>。</w:t>
      </w:r>
    </w:p>
    <w:p w:rsidR="00566263" w:rsidRPr="003A3933" w:rsidRDefault="001D6579" w:rsidP="003A393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3A3933">
        <w:rPr>
          <w:rFonts w:ascii="仿宋" w:eastAsia="仿宋" w:hAnsi="仿宋" w:hint="eastAsia"/>
          <w:b/>
          <w:sz w:val="32"/>
          <w:szCs w:val="32"/>
        </w:rPr>
        <w:t>（三）</w:t>
      </w:r>
      <w:r w:rsidR="009877A0">
        <w:rPr>
          <w:rFonts w:ascii="仿宋" w:eastAsia="仿宋" w:hAnsi="仿宋" w:hint="eastAsia"/>
          <w:b/>
          <w:sz w:val="32"/>
          <w:szCs w:val="32"/>
        </w:rPr>
        <w:t>加强民事案件调撤力度</w:t>
      </w:r>
    </w:p>
    <w:p w:rsidR="003A3933" w:rsidRDefault="003A3933" w:rsidP="0056626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民事案件主张和谐结案</w:t>
      </w:r>
      <w:r w:rsidR="00943683">
        <w:rPr>
          <w:rFonts w:ascii="仿宋" w:eastAsia="仿宋" w:hAnsi="仿宋" w:hint="eastAsia"/>
          <w:sz w:val="32"/>
          <w:szCs w:val="32"/>
        </w:rPr>
        <w:t>。对于</w:t>
      </w:r>
      <w:r w:rsidR="00CC4AE7">
        <w:rPr>
          <w:rFonts w:ascii="仿宋" w:eastAsia="仿宋" w:hAnsi="仿宋" w:hint="eastAsia"/>
          <w:sz w:val="32"/>
          <w:szCs w:val="32"/>
        </w:rPr>
        <w:t>审理家事审判类案件以及其他民商事案件中当事人有调解意愿的，法官应积极开展调解工作</w:t>
      </w:r>
      <w:r w:rsidR="00474A84">
        <w:rPr>
          <w:rFonts w:ascii="仿宋" w:eastAsia="仿宋" w:hAnsi="仿宋" w:hint="eastAsia"/>
          <w:sz w:val="32"/>
          <w:szCs w:val="32"/>
        </w:rPr>
        <w:t>，注重发挥</w:t>
      </w:r>
      <w:r w:rsidR="00474A84">
        <w:rPr>
          <w:rFonts w:ascii="仿宋" w:eastAsia="仿宋" w:hAnsi="仿宋" w:hint="eastAsia"/>
          <w:sz w:val="32"/>
          <w:szCs w:val="32"/>
        </w:rPr>
        <w:lastRenderedPageBreak/>
        <w:t>多元化纠纷解决机制作用，引导</w:t>
      </w:r>
      <w:r w:rsidR="00D90EDF">
        <w:rPr>
          <w:rFonts w:ascii="仿宋" w:eastAsia="仿宋" w:hAnsi="仿宋" w:hint="eastAsia"/>
          <w:sz w:val="32"/>
          <w:szCs w:val="32"/>
        </w:rPr>
        <w:t>双方</w:t>
      </w:r>
      <w:r w:rsidR="00474A84">
        <w:rPr>
          <w:rFonts w:ascii="仿宋" w:eastAsia="仿宋" w:hAnsi="仿宋" w:hint="eastAsia"/>
          <w:sz w:val="32"/>
          <w:szCs w:val="32"/>
        </w:rPr>
        <w:t>当事人</w:t>
      </w:r>
      <w:r w:rsidR="00D90EDF">
        <w:rPr>
          <w:rFonts w:ascii="仿宋" w:eastAsia="仿宋" w:hAnsi="仿宋" w:hint="eastAsia"/>
          <w:sz w:val="32"/>
          <w:szCs w:val="32"/>
        </w:rPr>
        <w:t>化解矛盾，达成调解。对于案件久调不决的，应做好当事人工作后及时判决，避免审限过长。</w:t>
      </w:r>
    </w:p>
    <w:p w:rsidR="00566263" w:rsidRPr="00BF4747" w:rsidRDefault="00566263" w:rsidP="00BF4747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BF4747">
        <w:rPr>
          <w:rFonts w:ascii="仿宋" w:eastAsia="仿宋" w:hAnsi="仿宋" w:hint="eastAsia"/>
          <w:b/>
          <w:sz w:val="32"/>
          <w:szCs w:val="32"/>
        </w:rPr>
        <w:t>（四）加大裁判文书上网工作</w:t>
      </w:r>
    </w:p>
    <w:p w:rsidR="00925B9A" w:rsidRPr="00925B9A" w:rsidRDefault="002B1AD4" w:rsidP="00925B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进一步加大裁判文书上网发布工作，</w:t>
      </w:r>
      <w:r w:rsidR="00925B9A">
        <w:rPr>
          <w:rFonts w:ascii="仿宋" w:eastAsia="仿宋" w:hAnsi="仿宋" w:hint="eastAsia"/>
          <w:sz w:val="32"/>
          <w:szCs w:val="32"/>
        </w:rPr>
        <w:t>加强制作裁判文书质量，</w:t>
      </w:r>
      <w:r>
        <w:rPr>
          <w:rFonts w:ascii="仿宋" w:eastAsia="仿宋" w:hAnsi="仿宋" w:hint="eastAsia"/>
          <w:sz w:val="32"/>
          <w:szCs w:val="32"/>
        </w:rPr>
        <w:t>避免审管办对裁判文书进行二次</w:t>
      </w:r>
      <w:r w:rsidR="00925B9A">
        <w:rPr>
          <w:rFonts w:ascii="仿宋" w:eastAsia="仿宋" w:hAnsi="仿宋" w:hint="eastAsia"/>
          <w:sz w:val="32"/>
          <w:szCs w:val="32"/>
        </w:rPr>
        <w:t>处理</w:t>
      </w:r>
      <w:r>
        <w:rPr>
          <w:rFonts w:ascii="仿宋" w:eastAsia="仿宋" w:hAnsi="仿宋" w:hint="eastAsia"/>
          <w:sz w:val="32"/>
          <w:szCs w:val="32"/>
        </w:rPr>
        <w:t>。</w:t>
      </w:r>
      <w:r w:rsidR="00566263" w:rsidRPr="00566263">
        <w:rPr>
          <w:rFonts w:ascii="仿宋" w:eastAsia="仿宋" w:hAnsi="仿宋" w:hint="eastAsia"/>
          <w:sz w:val="32"/>
          <w:szCs w:val="32"/>
        </w:rPr>
        <w:t>做到符合上网条件的案件100%上网公开，不符合上网条件的案件100%上网公示。</w:t>
      </w:r>
    </w:p>
    <w:p w:rsidR="00925B9A" w:rsidRDefault="00925B9A" w:rsidP="007041B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</w:t>
      </w:r>
      <w:r w:rsidR="00932C52">
        <w:rPr>
          <w:rFonts w:ascii="仿宋" w:eastAsia="仿宋" w:hAnsi="仿宋" w:hint="eastAsia"/>
          <w:b/>
          <w:sz w:val="32"/>
          <w:szCs w:val="32"/>
        </w:rPr>
        <w:t>进一步加强案件</w:t>
      </w:r>
      <w:r w:rsidR="006A7B24">
        <w:rPr>
          <w:rFonts w:ascii="仿宋" w:eastAsia="仿宋" w:hAnsi="仿宋" w:hint="eastAsia"/>
          <w:b/>
          <w:sz w:val="32"/>
          <w:szCs w:val="32"/>
        </w:rPr>
        <w:t>庭审</w:t>
      </w:r>
      <w:r w:rsidR="00932C52">
        <w:rPr>
          <w:rFonts w:ascii="仿宋" w:eastAsia="仿宋" w:hAnsi="仿宋" w:hint="eastAsia"/>
          <w:b/>
          <w:sz w:val="32"/>
          <w:szCs w:val="32"/>
        </w:rPr>
        <w:t>直播工作</w:t>
      </w:r>
    </w:p>
    <w:p w:rsidR="00932C52" w:rsidRDefault="00456B21" w:rsidP="00456B2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56B21">
        <w:rPr>
          <w:rFonts w:ascii="仿宋" w:eastAsia="仿宋" w:hAnsi="仿宋" w:hint="eastAsia"/>
          <w:sz w:val="32"/>
          <w:szCs w:val="32"/>
        </w:rPr>
        <w:t>第一季度，我院</w:t>
      </w:r>
      <w:r>
        <w:rPr>
          <w:rFonts w:ascii="仿宋" w:eastAsia="仿宋" w:hAnsi="仿宋" w:hint="eastAsia"/>
          <w:sz w:val="32"/>
          <w:szCs w:val="32"/>
        </w:rPr>
        <w:t>庭审直播率</w:t>
      </w:r>
      <w:r w:rsidR="00AB5D0A">
        <w:rPr>
          <w:rFonts w:ascii="仿宋" w:eastAsia="仿宋" w:hAnsi="仿宋" w:hint="eastAsia"/>
          <w:sz w:val="32"/>
          <w:szCs w:val="32"/>
        </w:rPr>
        <w:t>低于省、中院绩效考核指标，存在以下</w:t>
      </w:r>
      <w:r w:rsidR="003147EB">
        <w:rPr>
          <w:rFonts w:ascii="仿宋" w:eastAsia="仿宋" w:hAnsi="仿宋" w:hint="eastAsia"/>
          <w:sz w:val="32"/>
          <w:szCs w:val="32"/>
        </w:rPr>
        <w:t>问题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56B21" w:rsidRPr="00456B21" w:rsidRDefault="00456B21" w:rsidP="00456B2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44199">
        <w:rPr>
          <w:rFonts w:ascii="仿宋" w:eastAsia="仿宋" w:hAnsi="仿宋" w:hint="eastAsia"/>
          <w:sz w:val="32"/>
          <w:szCs w:val="32"/>
        </w:rPr>
        <w:t>部分法官在公开开庭审理案件时未使用</w:t>
      </w:r>
      <w:r w:rsidRPr="00456B21">
        <w:rPr>
          <w:rFonts w:ascii="仿宋" w:eastAsia="仿宋" w:hAnsi="仿宋" w:hint="eastAsia"/>
          <w:sz w:val="32"/>
          <w:szCs w:val="32"/>
        </w:rPr>
        <w:t>直播设备进行直播</w:t>
      </w:r>
      <w:r w:rsidR="003147EB">
        <w:rPr>
          <w:rFonts w:ascii="仿宋" w:eastAsia="仿宋" w:hAnsi="仿宋" w:hint="eastAsia"/>
          <w:sz w:val="32"/>
          <w:szCs w:val="32"/>
        </w:rPr>
        <w:t>，</w:t>
      </w:r>
      <w:r w:rsidR="004A1D4D">
        <w:rPr>
          <w:rFonts w:ascii="仿宋" w:eastAsia="仿宋" w:hAnsi="仿宋" w:hint="eastAsia"/>
          <w:sz w:val="32"/>
          <w:szCs w:val="32"/>
        </w:rPr>
        <w:t>且</w:t>
      </w:r>
      <w:r w:rsidR="00AB5D0A">
        <w:rPr>
          <w:rFonts w:ascii="仿宋" w:eastAsia="仿宋" w:hAnsi="仿宋" w:hint="eastAsia"/>
          <w:sz w:val="32"/>
          <w:szCs w:val="32"/>
        </w:rPr>
        <w:t>人均案件直播数较低，</w:t>
      </w:r>
      <w:r w:rsidR="00991958">
        <w:rPr>
          <w:rFonts w:ascii="仿宋" w:eastAsia="仿宋" w:hAnsi="仿宋" w:hint="eastAsia"/>
          <w:sz w:val="32"/>
          <w:szCs w:val="32"/>
        </w:rPr>
        <w:t>院、庭长应</w:t>
      </w:r>
      <w:r w:rsidR="00E21B14">
        <w:rPr>
          <w:rFonts w:ascii="仿宋" w:eastAsia="仿宋" w:hAnsi="仿宋" w:hint="eastAsia"/>
          <w:sz w:val="32"/>
          <w:szCs w:val="32"/>
        </w:rPr>
        <w:t>发挥</w:t>
      </w:r>
      <w:r w:rsidR="00A85C1F">
        <w:rPr>
          <w:rFonts w:ascii="仿宋" w:eastAsia="仿宋" w:hAnsi="仿宋" w:hint="eastAsia"/>
          <w:sz w:val="32"/>
          <w:szCs w:val="32"/>
        </w:rPr>
        <w:t>积极</w:t>
      </w:r>
      <w:r w:rsidR="00E21B14">
        <w:rPr>
          <w:rFonts w:ascii="仿宋" w:eastAsia="仿宋" w:hAnsi="仿宋" w:hint="eastAsia"/>
          <w:sz w:val="32"/>
          <w:szCs w:val="32"/>
        </w:rPr>
        <w:t>带头作用，庭审直播率仍有</w:t>
      </w:r>
      <w:r w:rsidR="00FC29C8">
        <w:rPr>
          <w:rFonts w:ascii="仿宋" w:eastAsia="仿宋" w:hAnsi="仿宋" w:hint="eastAsia"/>
          <w:sz w:val="32"/>
          <w:szCs w:val="32"/>
        </w:rPr>
        <w:t>较大</w:t>
      </w:r>
      <w:r w:rsidR="00E21B14">
        <w:rPr>
          <w:rFonts w:ascii="仿宋" w:eastAsia="仿宋" w:hAnsi="仿宋" w:hint="eastAsia"/>
          <w:sz w:val="32"/>
          <w:szCs w:val="32"/>
        </w:rPr>
        <w:t>提升空间</w:t>
      </w:r>
      <w:r w:rsidR="003147EB">
        <w:rPr>
          <w:rFonts w:ascii="仿宋" w:eastAsia="仿宋" w:hAnsi="仿宋" w:hint="eastAsia"/>
          <w:sz w:val="32"/>
          <w:szCs w:val="32"/>
        </w:rPr>
        <w:t>；</w:t>
      </w:r>
    </w:p>
    <w:p w:rsidR="00456B21" w:rsidRDefault="00456B21" w:rsidP="00456B2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3147EB">
        <w:rPr>
          <w:rFonts w:ascii="仿宋" w:eastAsia="仿宋" w:hAnsi="仿宋" w:hint="eastAsia"/>
          <w:sz w:val="32"/>
          <w:szCs w:val="32"/>
        </w:rPr>
        <w:t>直播案件未覆盖公开开庭审理的各种类型案件；</w:t>
      </w:r>
    </w:p>
    <w:p w:rsidR="00456B21" w:rsidRPr="00456B21" w:rsidRDefault="00456B21" w:rsidP="00456B2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3147EB">
        <w:rPr>
          <w:rFonts w:ascii="仿宋" w:eastAsia="仿宋" w:hAnsi="仿宋" w:hint="eastAsia"/>
          <w:sz w:val="32"/>
          <w:szCs w:val="32"/>
        </w:rPr>
        <w:t>个别案件在直播时</w:t>
      </w:r>
      <w:r w:rsidR="002F48BB">
        <w:rPr>
          <w:rFonts w:ascii="仿宋" w:eastAsia="仿宋" w:hAnsi="仿宋" w:hint="eastAsia"/>
          <w:sz w:val="32"/>
          <w:szCs w:val="32"/>
        </w:rPr>
        <w:t>存在</w:t>
      </w:r>
      <w:r w:rsidR="003147EB">
        <w:rPr>
          <w:rFonts w:ascii="仿宋" w:eastAsia="仿宋" w:hAnsi="仿宋" w:hint="eastAsia"/>
          <w:sz w:val="32"/>
          <w:szCs w:val="32"/>
        </w:rPr>
        <w:t>法官/当事人模块黑屏，</w:t>
      </w:r>
      <w:r w:rsidR="00210648">
        <w:rPr>
          <w:rFonts w:ascii="仿宋" w:eastAsia="仿宋" w:hAnsi="仿宋" w:hint="eastAsia"/>
          <w:sz w:val="32"/>
          <w:szCs w:val="32"/>
        </w:rPr>
        <w:t>应加强</w:t>
      </w:r>
      <w:r w:rsidR="00C643AC">
        <w:rPr>
          <w:rFonts w:ascii="仿宋" w:eastAsia="仿宋" w:hAnsi="仿宋" w:hint="eastAsia"/>
          <w:sz w:val="32"/>
          <w:szCs w:val="32"/>
        </w:rPr>
        <w:t>培训书记员熟练使用直播设备以及</w:t>
      </w:r>
      <w:r w:rsidR="00DA3666">
        <w:rPr>
          <w:rFonts w:ascii="仿宋" w:eastAsia="仿宋" w:hAnsi="仿宋" w:hint="eastAsia"/>
          <w:sz w:val="32"/>
          <w:szCs w:val="32"/>
        </w:rPr>
        <w:t>对</w:t>
      </w:r>
      <w:r w:rsidR="00C643AC">
        <w:rPr>
          <w:rFonts w:ascii="仿宋" w:eastAsia="仿宋" w:hAnsi="仿宋" w:hint="eastAsia"/>
          <w:sz w:val="32"/>
          <w:szCs w:val="32"/>
        </w:rPr>
        <w:t>直播设备的日常维护，确保案件直播质量。</w:t>
      </w:r>
    </w:p>
    <w:p w:rsidR="00566263" w:rsidRPr="007041BB" w:rsidRDefault="00566263" w:rsidP="007041B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7041BB">
        <w:rPr>
          <w:rFonts w:ascii="仿宋" w:eastAsia="仿宋" w:hAnsi="仿宋" w:hint="eastAsia"/>
          <w:b/>
          <w:sz w:val="32"/>
          <w:szCs w:val="32"/>
        </w:rPr>
        <w:t>（</w:t>
      </w:r>
      <w:r w:rsidR="00925B9A">
        <w:rPr>
          <w:rFonts w:ascii="仿宋" w:eastAsia="仿宋" w:hAnsi="仿宋" w:hint="eastAsia"/>
          <w:b/>
          <w:sz w:val="32"/>
          <w:szCs w:val="32"/>
        </w:rPr>
        <w:t>六</w:t>
      </w:r>
      <w:r w:rsidRPr="007041BB">
        <w:rPr>
          <w:rFonts w:ascii="仿宋" w:eastAsia="仿宋" w:hAnsi="仿宋" w:hint="eastAsia"/>
          <w:b/>
          <w:sz w:val="32"/>
          <w:szCs w:val="32"/>
        </w:rPr>
        <w:t>）规范信息录入</w:t>
      </w:r>
      <w:r w:rsidR="003A3933">
        <w:rPr>
          <w:rFonts w:ascii="仿宋" w:eastAsia="仿宋" w:hAnsi="仿宋" w:hint="eastAsia"/>
          <w:b/>
          <w:sz w:val="32"/>
          <w:szCs w:val="32"/>
        </w:rPr>
        <w:t>工作</w:t>
      </w:r>
    </w:p>
    <w:p w:rsidR="004C4316" w:rsidRDefault="00566263" w:rsidP="003A39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66263">
        <w:rPr>
          <w:rFonts w:ascii="仿宋" w:eastAsia="仿宋" w:hAnsi="仿宋" w:hint="eastAsia"/>
          <w:sz w:val="32"/>
          <w:szCs w:val="32"/>
        </w:rPr>
        <w:t>强化责任意识，业务庭室务必注重信息录入工作的准确率，将信息录入工作分解到每个审判员、书记员，保证审判执行系统中数据的真实、完整、准确。</w:t>
      </w:r>
    </w:p>
    <w:p w:rsidR="00E3546E" w:rsidRDefault="00E3546E" w:rsidP="003A39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3546E" w:rsidRDefault="00E3546E" w:rsidP="003A39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3546E" w:rsidRDefault="00E3546E" w:rsidP="003A39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3546E" w:rsidRDefault="00E3546E" w:rsidP="003A39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3546E" w:rsidRDefault="00E3546E" w:rsidP="003A39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C643AC" w:rsidRDefault="00C643AC" w:rsidP="003A39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643AC" w:rsidRDefault="00C643AC" w:rsidP="003A393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643AC" w:rsidRPr="00927564" w:rsidRDefault="00C643AC" w:rsidP="00C643AC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二〇一九年四月三日</w:t>
      </w:r>
    </w:p>
    <w:sectPr w:rsidR="00C643AC" w:rsidRPr="00927564" w:rsidSect="00711ACB"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85" w:rsidRDefault="00946E85" w:rsidP="00C3682B">
      <w:r>
        <w:separator/>
      </w:r>
    </w:p>
  </w:endnote>
  <w:endnote w:type="continuationSeparator" w:id="1">
    <w:p w:rsidR="00946E85" w:rsidRDefault="00946E85" w:rsidP="00C3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8849"/>
      <w:docPartObj>
        <w:docPartGallery w:val="Page Numbers (Bottom of Page)"/>
        <w:docPartUnique/>
      </w:docPartObj>
    </w:sdtPr>
    <w:sdtContent>
      <w:p w:rsidR="00F6793E" w:rsidRDefault="00BC247C">
        <w:pPr>
          <w:pStyle w:val="a4"/>
          <w:jc w:val="center"/>
        </w:pPr>
        <w:r w:rsidRPr="00BC247C">
          <w:fldChar w:fldCharType="begin"/>
        </w:r>
        <w:r w:rsidR="00E3546E">
          <w:instrText xml:space="preserve"> PAGE   \* MERGEFORMAT </w:instrText>
        </w:r>
        <w:r w:rsidRPr="00BC247C">
          <w:fldChar w:fldCharType="separate"/>
        </w:r>
        <w:r w:rsidR="00633EEE" w:rsidRPr="00633EE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D17681" w:rsidRDefault="00D176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85" w:rsidRDefault="00946E85" w:rsidP="00C3682B">
      <w:r>
        <w:separator/>
      </w:r>
    </w:p>
  </w:footnote>
  <w:footnote w:type="continuationSeparator" w:id="1">
    <w:p w:rsidR="00946E85" w:rsidRDefault="00946E85" w:rsidP="00C36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DE3"/>
    <w:multiLevelType w:val="hybridMultilevel"/>
    <w:tmpl w:val="022A703C"/>
    <w:lvl w:ilvl="0" w:tplc="6FC6751A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CD2083"/>
    <w:multiLevelType w:val="hybridMultilevel"/>
    <w:tmpl w:val="27A8C66A"/>
    <w:lvl w:ilvl="0" w:tplc="6F56D3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5D6CFD"/>
    <w:multiLevelType w:val="hybridMultilevel"/>
    <w:tmpl w:val="CB340B24"/>
    <w:lvl w:ilvl="0" w:tplc="FA8219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2B"/>
    <w:rsid w:val="000A01A8"/>
    <w:rsid w:val="000B6A9F"/>
    <w:rsid w:val="000C1C29"/>
    <w:rsid w:val="000C519D"/>
    <w:rsid w:val="000C6C89"/>
    <w:rsid w:val="000E79EE"/>
    <w:rsid w:val="001003E6"/>
    <w:rsid w:val="001078E9"/>
    <w:rsid w:val="00107B14"/>
    <w:rsid w:val="00116A1E"/>
    <w:rsid w:val="00120F06"/>
    <w:rsid w:val="001A16B8"/>
    <w:rsid w:val="001B7332"/>
    <w:rsid w:val="001C1F35"/>
    <w:rsid w:val="001D6579"/>
    <w:rsid w:val="00210648"/>
    <w:rsid w:val="00214136"/>
    <w:rsid w:val="00215F73"/>
    <w:rsid w:val="002444A4"/>
    <w:rsid w:val="00290AB5"/>
    <w:rsid w:val="002923D6"/>
    <w:rsid w:val="002A2A5C"/>
    <w:rsid w:val="002B1AD4"/>
    <w:rsid w:val="002B677F"/>
    <w:rsid w:val="002D0464"/>
    <w:rsid w:val="002D4F28"/>
    <w:rsid w:val="002D5024"/>
    <w:rsid w:val="002E67E2"/>
    <w:rsid w:val="002F3026"/>
    <w:rsid w:val="002F3180"/>
    <w:rsid w:val="002F48BB"/>
    <w:rsid w:val="00304097"/>
    <w:rsid w:val="00310D4D"/>
    <w:rsid w:val="0031298D"/>
    <w:rsid w:val="003147EB"/>
    <w:rsid w:val="0033370E"/>
    <w:rsid w:val="00344541"/>
    <w:rsid w:val="00347256"/>
    <w:rsid w:val="00370106"/>
    <w:rsid w:val="003706EE"/>
    <w:rsid w:val="00376C69"/>
    <w:rsid w:val="00383715"/>
    <w:rsid w:val="00391BF1"/>
    <w:rsid w:val="003A3933"/>
    <w:rsid w:val="003C26DC"/>
    <w:rsid w:val="003C6248"/>
    <w:rsid w:val="003E7F96"/>
    <w:rsid w:val="003F60AD"/>
    <w:rsid w:val="0042578A"/>
    <w:rsid w:val="00427C46"/>
    <w:rsid w:val="00456B21"/>
    <w:rsid w:val="00470278"/>
    <w:rsid w:val="004702CA"/>
    <w:rsid w:val="00474A84"/>
    <w:rsid w:val="00481E1B"/>
    <w:rsid w:val="004A1D4D"/>
    <w:rsid w:val="004A49F0"/>
    <w:rsid w:val="004C4316"/>
    <w:rsid w:val="004E0566"/>
    <w:rsid w:val="004F5BE4"/>
    <w:rsid w:val="0050654C"/>
    <w:rsid w:val="00507807"/>
    <w:rsid w:val="00527A8A"/>
    <w:rsid w:val="00542125"/>
    <w:rsid w:val="00566263"/>
    <w:rsid w:val="005903F5"/>
    <w:rsid w:val="005C3FF7"/>
    <w:rsid w:val="00626FAA"/>
    <w:rsid w:val="00633EEE"/>
    <w:rsid w:val="00644199"/>
    <w:rsid w:val="00650E74"/>
    <w:rsid w:val="006746F9"/>
    <w:rsid w:val="00680DC9"/>
    <w:rsid w:val="006A7B24"/>
    <w:rsid w:val="006C1BC9"/>
    <w:rsid w:val="006F45CF"/>
    <w:rsid w:val="006F522C"/>
    <w:rsid w:val="007041BB"/>
    <w:rsid w:val="00711ACB"/>
    <w:rsid w:val="007301B7"/>
    <w:rsid w:val="00754524"/>
    <w:rsid w:val="00761362"/>
    <w:rsid w:val="00770C48"/>
    <w:rsid w:val="007767F9"/>
    <w:rsid w:val="00787527"/>
    <w:rsid w:val="00790906"/>
    <w:rsid w:val="007A39B5"/>
    <w:rsid w:val="007B0903"/>
    <w:rsid w:val="007B4BE9"/>
    <w:rsid w:val="007D2565"/>
    <w:rsid w:val="007F2163"/>
    <w:rsid w:val="00802B94"/>
    <w:rsid w:val="00837CC8"/>
    <w:rsid w:val="008554B9"/>
    <w:rsid w:val="0086032E"/>
    <w:rsid w:val="008667D4"/>
    <w:rsid w:val="00874D78"/>
    <w:rsid w:val="008C0100"/>
    <w:rsid w:val="008F045D"/>
    <w:rsid w:val="008F1DDE"/>
    <w:rsid w:val="00901EB1"/>
    <w:rsid w:val="009122C0"/>
    <w:rsid w:val="00925B9A"/>
    <w:rsid w:val="00927564"/>
    <w:rsid w:val="00932C52"/>
    <w:rsid w:val="00943683"/>
    <w:rsid w:val="00946E85"/>
    <w:rsid w:val="00961921"/>
    <w:rsid w:val="0097638C"/>
    <w:rsid w:val="00980DC1"/>
    <w:rsid w:val="00985DD2"/>
    <w:rsid w:val="009869ED"/>
    <w:rsid w:val="009877A0"/>
    <w:rsid w:val="00991958"/>
    <w:rsid w:val="00997602"/>
    <w:rsid w:val="009B4B49"/>
    <w:rsid w:val="009C446A"/>
    <w:rsid w:val="009D4B8E"/>
    <w:rsid w:val="009E37A8"/>
    <w:rsid w:val="009E67C0"/>
    <w:rsid w:val="00A00688"/>
    <w:rsid w:val="00A079E6"/>
    <w:rsid w:val="00A21E2A"/>
    <w:rsid w:val="00A31879"/>
    <w:rsid w:val="00A85C1F"/>
    <w:rsid w:val="00A95FC2"/>
    <w:rsid w:val="00AA0EAA"/>
    <w:rsid w:val="00AA56E5"/>
    <w:rsid w:val="00AA65F1"/>
    <w:rsid w:val="00AB1D42"/>
    <w:rsid w:val="00AB5D0A"/>
    <w:rsid w:val="00AC3103"/>
    <w:rsid w:val="00AC7852"/>
    <w:rsid w:val="00AD23DC"/>
    <w:rsid w:val="00AD2884"/>
    <w:rsid w:val="00AE56AF"/>
    <w:rsid w:val="00AF29F8"/>
    <w:rsid w:val="00B134BA"/>
    <w:rsid w:val="00B50E66"/>
    <w:rsid w:val="00B51D76"/>
    <w:rsid w:val="00B8086D"/>
    <w:rsid w:val="00BA3E50"/>
    <w:rsid w:val="00BA51D6"/>
    <w:rsid w:val="00BC247C"/>
    <w:rsid w:val="00BD40C1"/>
    <w:rsid w:val="00BD6351"/>
    <w:rsid w:val="00BE74C7"/>
    <w:rsid w:val="00BF4747"/>
    <w:rsid w:val="00C3682B"/>
    <w:rsid w:val="00C410DE"/>
    <w:rsid w:val="00C639C6"/>
    <w:rsid w:val="00C63A8F"/>
    <w:rsid w:val="00C643AC"/>
    <w:rsid w:val="00C7608B"/>
    <w:rsid w:val="00C827FE"/>
    <w:rsid w:val="00C85FF0"/>
    <w:rsid w:val="00C8628D"/>
    <w:rsid w:val="00CB26AA"/>
    <w:rsid w:val="00CC4AE7"/>
    <w:rsid w:val="00CE5882"/>
    <w:rsid w:val="00CE69AF"/>
    <w:rsid w:val="00D11098"/>
    <w:rsid w:val="00D17681"/>
    <w:rsid w:val="00D45E1B"/>
    <w:rsid w:val="00D50827"/>
    <w:rsid w:val="00D56949"/>
    <w:rsid w:val="00D62F60"/>
    <w:rsid w:val="00D633C9"/>
    <w:rsid w:val="00D7088D"/>
    <w:rsid w:val="00D90EDF"/>
    <w:rsid w:val="00DA3666"/>
    <w:rsid w:val="00DB20A6"/>
    <w:rsid w:val="00DB6B33"/>
    <w:rsid w:val="00DD5072"/>
    <w:rsid w:val="00DD781F"/>
    <w:rsid w:val="00DF139C"/>
    <w:rsid w:val="00DF1CEF"/>
    <w:rsid w:val="00E10DCC"/>
    <w:rsid w:val="00E12059"/>
    <w:rsid w:val="00E124EE"/>
    <w:rsid w:val="00E17D4C"/>
    <w:rsid w:val="00E21B14"/>
    <w:rsid w:val="00E22BAB"/>
    <w:rsid w:val="00E27D48"/>
    <w:rsid w:val="00E3546E"/>
    <w:rsid w:val="00E77C7C"/>
    <w:rsid w:val="00E94CCB"/>
    <w:rsid w:val="00EF69F8"/>
    <w:rsid w:val="00F03C4A"/>
    <w:rsid w:val="00F06C69"/>
    <w:rsid w:val="00F11D1A"/>
    <w:rsid w:val="00F21B00"/>
    <w:rsid w:val="00F24F7D"/>
    <w:rsid w:val="00F33284"/>
    <w:rsid w:val="00F36CBF"/>
    <w:rsid w:val="00F6793E"/>
    <w:rsid w:val="00FA18A1"/>
    <w:rsid w:val="00FC06E6"/>
    <w:rsid w:val="00FC29C8"/>
    <w:rsid w:val="00FD24D9"/>
    <w:rsid w:val="00FD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B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1B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2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C1BC9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F21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B1D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1D42"/>
    <w:rPr>
      <w:sz w:val="18"/>
      <w:szCs w:val="18"/>
    </w:rPr>
  </w:style>
  <w:style w:type="table" w:styleId="a7">
    <w:name w:val="Table Grid"/>
    <w:basedOn w:val="a1"/>
    <w:uiPriority w:val="59"/>
    <w:rsid w:val="00E27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列表 - 强调文字颜色 11"/>
    <w:basedOn w:val="a1"/>
    <w:uiPriority w:val="61"/>
    <w:rsid w:val="00310D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中等深浅底纹 11"/>
    <w:basedOn w:val="a1"/>
    <w:uiPriority w:val="63"/>
    <w:rsid w:val="00310D4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底纹 1 - 强调文字颜色 11"/>
    <w:basedOn w:val="a1"/>
    <w:uiPriority w:val="63"/>
    <w:rsid w:val="00310D4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310D4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0"/>
  <c:chart>
    <c:title>
      <c:tx>
        <c:rich>
          <a:bodyPr/>
          <a:lstStyle/>
          <a:p>
            <a:pPr>
              <a:defRPr sz="1200">
                <a:latin typeface="+mn-ea"/>
                <a:ea typeface="+mn-ea"/>
              </a:defRPr>
            </a:pPr>
            <a:r>
              <a:rPr lang="en-US" sz="1200">
                <a:latin typeface="+mn-ea"/>
                <a:ea typeface="+mn-ea"/>
              </a:rPr>
              <a:t>  </a:t>
            </a:r>
            <a:r>
              <a:rPr lang="zh-CN" altLang="en-US" sz="1200">
                <a:latin typeface="+mn-ea"/>
                <a:ea typeface="+mn-ea"/>
              </a:rPr>
              <a:t>图</a:t>
            </a:r>
            <a:r>
              <a:rPr lang="en-US" altLang="zh-CN" sz="1200">
                <a:latin typeface="+mn-ea"/>
                <a:ea typeface="+mn-ea"/>
              </a:rPr>
              <a:t>1  </a:t>
            </a:r>
            <a:r>
              <a:rPr lang="zh-CN" sz="1200">
                <a:latin typeface="+mn-ea"/>
                <a:ea typeface="+mn-ea"/>
              </a:rPr>
              <a:t>敦化林区基层法院收结案情况同比表</a:t>
            </a:r>
          </a:p>
        </c:rich>
      </c:tx>
      <c:spPr>
        <a:ln>
          <a:noFill/>
        </a:ln>
      </c:spPr>
    </c:title>
    <c:view3D>
      <c:rAngAx val="1"/>
    </c:view3D>
    <c:plotArea>
      <c:layout>
        <c:manualLayout>
          <c:layoutTarget val="inner"/>
          <c:xMode val="edge"/>
          <c:yMode val="edge"/>
          <c:x val="0.15444847306708251"/>
          <c:y val="0.11326332544933826"/>
          <c:w val="0.82612009579168344"/>
          <c:h val="0.7121682577288458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合计</c:v>
                </c:pt>
                <c:pt idx="3">
                  <c:v>已结</c:v>
                </c:pt>
                <c:pt idx="4">
                  <c:v>未结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59</c:v>
                </c:pt>
                <c:pt idx="1">
                  <c:v>158</c:v>
                </c:pt>
                <c:pt idx="2">
                  <c:v>217</c:v>
                </c:pt>
                <c:pt idx="3">
                  <c:v>133</c:v>
                </c:pt>
                <c:pt idx="4">
                  <c:v>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合计</c:v>
                </c:pt>
                <c:pt idx="3">
                  <c:v>已结</c:v>
                </c:pt>
                <c:pt idx="4">
                  <c:v>未结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53</c:v>
                </c:pt>
                <c:pt idx="1">
                  <c:v>186</c:v>
                </c:pt>
                <c:pt idx="2">
                  <c:v>239</c:v>
                </c:pt>
                <c:pt idx="3">
                  <c:v>93</c:v>
                </c:pt>
                <c:pt idx="4">
                  <c:v>146</c:v>
                </c:pt>
              </c:numCache>
            </c:numRef>
          </c:val>
        </c:ser>
        <c:shape val="box"/>
        <c:axId val="199527424"/>
        <c:axId val="208528512"/>
        <c:axId val="0"/>
      </c:bar3DChart>
      <c:catAx>
        <c:axId val="199527424"/>
        <c:scaling>
          <c:orientation val="minMax"/>
        </c:scaling>
        <c:axPos val="b"/>
        <c:majorTickMark val="none"/>
        <c:tickLblPos val="nextTo"/>
        <c:crossAx val="208528512"/>
        <c:crosses val="autoZero"/>
        <c:auto val="1"/>
        <c:lblAlgn val="ctr"/>
        <c:lblOffset val="100"/>
      </c:catAx>
      <c:valAx>
        <c:axId val="2085285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zh-CN"/>
                  <a:t>单位：件</a:t>
                </a:r>
              </a:p>
            </c:rich>
          </c:tx>
        </c:title>
        <c:numFmt formatCode="General" sourceLinked="1"/>
        <c:majorTickMark val="none"/>
        <c:tickLblPos val="nextTo"/>
        <c:crossAx val="199527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0"/>
  <c:chart>
    <c:title>
      <c:tx>
        <c:rich>
          <a:bodyPr/>
          <a:lstStyle/>
          <a:p>
            <a:pPr>
              <a:defRPr sz="1200">
                <a:latin typeface="+mn-ea"/>
                <a:ea typeface="+mn-ea"/>
              </a:defRPr>
            </a:pPr>
            <a:r>
              <a:rPr lang="zh-CN" sz="1200">
                <a:latin typeface="+mn-ea"/>
                <a:ea typeface="+mn-ea"/>
              </a:rPr>
              <a:t>图</a:t>
            </a:r>
            <a:r>
              <a:rPr lang="en-US" sz="1200">
                <a:latin typeface="+mn-ea"/>
                <a:ea typeface="+mn-ea"/>
              </a:rPr>
              <a:t>2    </a:t>
            </a:r>
            <a:r>
              <a:rPr lang="zh-CN" sz="1200">
                <a:latin typeface="+mn-ea"/>
                <a:ea typeface="+mn-ea"/>
              </a:rPr>
              <a:t>受理案件构成情况图</a:t>
            </a:r>
          </a:p>
        </c:rich>
      </c:tx>
      <c:layout>
        <c:manualLayout>
          <c:xMode val="edge"/>
          <c:yMode val="edge"/>
          <c:x val="0.31986831850796854"/>
          <c:y val="2.041496862072571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图表2受理案件构成情况对比图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7380377717654066E-2"/>
                  <c:y val="-1.443033243135629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</a:t>
                    </a:r>
                    <a:r>
                      <a:rPr lang="en-US" altLang="zh-CN"/>
                      <a:t>:13,</a:t>
                    </a:r>
                    <a:r>
                      <a:rPr lang="zh-CN" altLang="en-US"/>
                      <a:t>占比</a:t>
                    </a:r>
                    <a:r>
                      <a:rPr lang="en-US" altLang="zh-CN"/>
                      <a:t>5%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9.9205204093047242E-2"/>
                  <c:y val="0.2900904414811922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</a:t>
                    </a:r>
                    <a:r>
                      <a:rPr lang="en-US" altLang="zh-CN"/>
                      <a:t>:107,</a:t>
                    </a:r>
                    <a:r>
                      <a:rPr lang="zh-CN" altLang="en-US"/>
                      <a:t>占比</a:t>
                    </a:r>
                    <a:r>
                      <a:rPr lang="en-US" altLang="zh-CN"/>
                      <a:t>44.77%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-9.3908018300024182E-3"/>
                  <c:y val="3.631960865572922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行政</a:t>
                    </a:r>
                    <a:r>
                      <a:rPr lang="en-US" altLang="zh-CN"/>
                      <a:t>:3,</a:t>
                    </a:r>
                    <a:r>
                      <a:rPr lang="zh-CN" altLang="en-US"/>
                      <a:t>占比</a:t>
                    </a:r>
                    <a:r>
                      <a:rPr lang="en-US" altLang="zh-CN"/>
                      <a:t>1.3%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3.1302672766674734E-2"/>
                  <c:y val="-0.16928077488765916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执行</a:t>
                    </a:r>
                    <a:r>
                      <a:rPr lang="en-US" altLang="zh-CN"/>
                      <a:t>:115,</a:t>
                    </a:r>
                    <a:r>
                      <a:rPr lang="zh-CN" altLang="en-US"/>
                      <a:t>占比</a:t>
                    </a:r>
                    <a:r>
                      <a:rPr lang="en-US" altLang="zh-CN"/>
                      <a:t>48.12%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-7.738908027779938E-2"/>
                  <c:y val="9.5330034210120013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非诉保全</a:t>
                    </a:r>
                    <a:r>
                      <a:rPr lang="en-US" altLang="zh-CN"/>
                      <a:t>:1,</a:t>
                    </a:r>
                    <a:r>
                      <a:rPr lang="zh-CN" altLang="en-US"/>
                      <a:t>占比</a:t>
                    </a:r>
                    <a:r>
                      <a:rPr lang="en-US" altLang="zh-CN"/>
                      <a:t>0.4%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  <c:pt idx="4">
                  <c:v>非诉保全审查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</c:v>
                </c:pt>
                <c:pt idx="1">
                  <c:v>107</c:v>
                </c:pt>
                <c:pt idx="2">
                  <c:v>3</c:v>
                </c:pt>
                <c:pt idx="3">
                  <c:v>115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200"/>
            </a:pPr>
            <a:r>
              <a:rPr lang="zh-CN" altLang="en-US" sz="1200">
                <a:latin typeface="+mn-ea"/>
                <a:ea typeface="+mn-ea"/>
              </a:rPr>
              <a:t>图表</a:t>
            </a:r>
            <a:r>
              <a:rPr lang="en-US" altLang="zh-CN" sz="1200">
                <a:latin typeface="+mn-ea"/>
                <a:ea typeface="+mn-ea"/>
              </a:rPr>
              <a:t>3  </a:t>
            </a:r>
            <a:r>
              <a:rPr lang="zh-CN" altLang="en-US" sz="1200">
                <a:latin typeface="+mn-ea"/>
                <a:ea typeface="+mn-ea"/>
              </a:rPr>
              <a:t>新收民事案件构成情况</a:t>
            </a:r>
            <a:r>
              <a:rPr lang="en-US" altLang="zh-CN" sz="1200" baseline="0">
                <a:latin typeface="+mn-ea"/>
                <a:ea typeface="+mn-ea"/>
              </a:rPr>
              <a:t>  </a:t>
            </a:r>
            <a:endParaRPr lang="zh-CN" altLang="en-US" sz="1200">
              <a:latin typeface="+mn-ea"/>
              <a:ea typeface="+mn-ea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7466196689312793E-2"/>
          <c:y val="0.18756315978124025"/>
          <c:w val="0.57629627523996318"/>
          <c:h val="0.7886219894319375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486455146823349"/>
                  <c:y val="3.2630410065138636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物权纠纷</a:t>
                    </a:r>
                    <a:r>
                      <a:rPr lang="en-US" altLang="zh-CN"/>
                      <a:t>:1,1.</a:t>
                    </a:r>
                    <a:r>
                      <a:rPr lang="en-US" altLang="en-US"/>
                      <a:t>4%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0.14487354744032871"/>
                  <c:y val="0.176076643670315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900"/>
                      <a:t>合同类</a:t>
                    </a:r>
                    <a:endParaRPr lang="en-US" altLang="zh-CN" sz="900"/>
                  </a:p>
                  <a:p>
                    <a:r>
                      <a:rPr lang="zh-CN" altLang="en-US" sz="900"/>
                      <a:t>纠纷</a:t>
                    </a:r>
                    <a:r>
                      <a:rPr lang="en-US" altLang="zh-CN" sz="900"/>
                      <a:t>:49,</a:t>
                    </a:r>
                    <a:r>
                      <a:rPr lang="en-US" altLang="en-US" sz="900"/>
                      <a:t>67.1%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6.5076586674912479E-2"/>
                  <c:y val="0.1877235487264497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人格权纠纷</a:t>
                    </a:r>
                    <a:r>
                      <a:rPr lang="en-US" altLang="zh-CN"/>
                      <a:t>:4,</a:t>
                    </a:r>
                    <a:r>
                      <a:rPr lang="en-US" altLang="en-US"/>
                      <a:t>5.5%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4.1965301321907002E-4"/>
                  <c:y val="-7.294462686091368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婚姻家庭类</a:t>
                    </a:r>
                    <a:endParaRPr lang="en-US" altLang="zh-CN"/>
                  </a:p>
                  <a:p>
                    <a:r>
                      <a:rPr lang="zh-CN" altLang="en-US"/>
                      <a:t>纠纷</a:t>
                    </a:r>
                    <a:r>
                      <a:rPr lang="en-US" altLang="zh-CN"/>
                      <a:t>:14,</a:t>
                    </a:r>
                    <a:r>
                      <a:rPr lang="en-US" altLang="en-US"/>
                      <a:t>19.2%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-0.13377071548366917"/>
                  <c:y val="-9.787801948485254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侵权责任</a:t>
                    </a:r>
                    <a:endParaRPr lang="en-US" altLang="zh-CN"/>
                  </a:p>
                  <a:p>
                    <a:r>
                      <a:rPr lang="zh-CN" altLang="en-US"/>
                      <a:t>纠纷</a:t>
                    </a:r>
                    <a:r>
                      <a:rPr lang="en-US" altLang="zh-CN"/>
                      <a:t>:2,</a:t>
                    </a:r>
                    <a:r>
                      <a:rPr lang="en-US" altLang="en-US"/>
                      <a:t>2.7%</a:t>
                    </a:r>
                  </a:p>
                </c:rich>
              </c:tx>
              <c:showPercent val="1"/>
            </c:dLbl>
            <c:dLbl>
              <c:idx val="5"/>
              <c:layout>
                <c:manualLayout>
                  <c:x val="4.1934379520932957E-2"/>
                  <c:y val="-7.973291041049025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劳动争议类纠纷</a:t>
                    </a:r>
                    <a:r>
                      <a:rPr lang="en-US" altLang="zh-CN"/>
                      <a:t>:2,</a:t>
                    </a:r>
                    <a:r>
                      <a:rPr lang="en-US" altLang="en-US"/>
                      <a:t>2.7%</a:t>
                    </a:r>
                  </a:p>
                </c:rich>
              </c:tx>
              <c:showPercent val="1"/>
            </c:dLbl>
            <c:dLbl>
              <c:idx val="6"/>
              <c:layout>
                <c:manualLayout>
                  <c:x val="0.14105138482238619"/>
                  <c:y val="-9.260738594116424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宣告失踪、死亡</a:t>
                    </a:r>
                    <a:r>
                      <a:rPr lang="en-US" altLang="zh-CN"/>
                      <a:t>:1,</a:t>
                    </a:r>
                    <a:r>
                      <a:rPr lang="en-US" altLang="en-US"/>
                      <a:t>1.4%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物权纠纷</c:v>
                </c:pt>
                <c:pt idx="1">
                  <c:v>合同、无因管理、不当得利纠纷</c:v>
                </c:pt>
                <c:pt idx="2">
                  <c:v>人格权纠纷</c:v>
                </c:pt>
                <c:pt idx="3">
                  <c:v>婚姻家庭、继承纠纷</c:v>
                </c:pt>
                <c:pt idx="4">
                  <c:v>侵权责任纠纷</c:v>
                </c:pt>
                <c:pt idx="5">
                  <c:v>劳动争议、人事争议</c:v>
                </c:pt>
                <c:pt idx="6">
                  <c:v>宣告失踪、死亡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49</c:v>
                </c:pt>
                <c:pt idx="2">
                  <c:v>4</c:v>
                </c:pt>
                <c:pt idx="3">
                  <c:v>14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noFill/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F77C-1A02-45A6-97C6-2D7A8E66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7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122</cp:revision>
  <cp:lastPrinted>2019-04-03T05:35:00Z</cp:lastPrinted>
  <dcterms:created xsi:type="dcterms:W3CDTF">2019-04-01T02:16:00Z</dcterms:created>
  <dcterms:modified xsi:type="dcterms:W3CDTF">2020-07-14T01:13:00Z</dcterms:modified>
</cp:coreProperties>
</file>