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C2" w:rsidRDefault="00595CC2" w:rsidP="00595CC2">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吉林省敦化林区基层</w:t>
      </w:r>
      <w:r w:rsidRPr="008B1061">
        <w:rPr>
          <w:rFonts w:asciiTheme="majorEastAsia" w:eastAsiaTheme="majorEastAsia" w:hAnsiTheme="majorEastAsia" w:hint="eastAsia"/>
          <w:b/>
          <w:sz w:val="44"/>
          <w:szCs w:val="44"/>
        </w:rPr>
        <w:t>法院</w:t>
      </w:r>
    </w:p>
    <w:p w:rsidR="00595CC2" w:rsidRPr="008B1061" w:rsidRDefault="00595CC2" w:rsidP="00595CC2">
      <w:pPr>
        <w:ind w:rightChars="-181" w:right="-380"/>
        <w:jc w:val="center"/>
        <w:rPr>
          <w:rFonts w:asciiTheme="majorEastAsia" w:eastAsiaTheme="majorEastAsia" w:hAnsiTheme="majorEastAsia"/>
          <w:b/>
          <w:sz w:val="44"/>
          <w:szCs w:val="44"/>
        </w:rPr>
      </w:pPr>
      <w:r w:rsidRPr="008B1061">
        <w:rPr>
          <w:rFonts w:asciiTheme="majorEastAsia" w:eastAsiaTheme="majorEastAsia" w:hAnsiTheme="majorEastAsia" w:hint="eastAsia"/>
          <w:b/>
          <w:sz w:val="44"/>
          <w:szCs w:val="44"/>
        </w:rPr>
        <w:t>审判委员会工作</w:t>
      </w:r>
      <w:r>
        <w:rPr>
          <w:rFonts w:asciiTheme="majorEastAsia" w:eastAsiaTheme="majorEastAsia" w:hAnsiTheme="majorEastAsia" w:hint="eastAsia"/>
          <w:b/>
          <w:sz w:val="44"/>
          <w:szCs w:val="44"/>
        </w:rPr>
        <w:t>规</w:t>
      </w:r>
      <w:r w:rsidRPr="008B1061">
        <w:rPr>
          <w:rFonts w:asciiTheme="majorEastAsia" w:eastAsiaTheme="majorEastAsia" w:hAnsiTheme="majorEastAsia" w:hint="eastAsia"/>
          <w:b/>
          <w:sz w:val="44"/>
          <w:szCs w:val="44"/>
        </w:rPr>
        <w:t>则</w:t>
      </w:r>
    </w:p>
    <w:p w:rsidR="00595CC2" w:rsidRDefault="00595CC2" w:rsidP="00595CC2">
      <w:pPr>
        <w:ind w:rightChars="-181" w:right="-380"/>
        <w:jc w:val="center"/>
        <w:rPr>
          <w:rFonts w:ascii="黑体" w:eastAsia="黑体" w:hAnsi="黑体"/>
          <w:sz w:val="36"/>
          <w:szCs w:val="36"/>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总则</w:t>
      </w:r>
    </w:p>
    <w:p w:rsidR="00595CC2" w:rsidRPr="00765600" w:rsidRDefault="00595CC2" w:rsidP="00595CC2">
      <w:pPr>
        <w:ind w:rightChars="-181" w:right="-380"/>
        <w:jc w:val="center"/>
        <w:rPr>
          <w:rFonts w:ascii="仿宋" w:eastAsia="仿宋" w:hAnsi="仿宋"/>
          <w:sz w:val="32"/>
          <w:szCs w:val="32"/>
        </w:rPr>
      </w:pPr>
    </w:p>
    <w:p w:rsidR="00595CC2" w:rsidRPr="00765600" w:rsidRDefault="00595CC2" w:rsidP="00595CC2">
      <w:pPr>
        <w:pStyle w:val="a5"/>
        <w:ind w:rightChars="-181" w:right="-380" w:firstLineChars="201" w:firstLine="646"/>
        <w:jc w:val="left"/>
        <w:rPr>
          <w:rFonts w:ascii="仿宋" w:eastAsia="仿宋" w:hAnsi="仿宋"/>
          <w:sz w:val="32"/>
          <w:szCs w:val="32"/>
        </w:rPr>
      </w:pPr>
      <w:r w:rsidRPr="00765600">
        <w:rPr>
          <w:rFonts w:ascii="仿宋" w:eastAsia="仿宋" w:hAnsi="仿宋" w:hint="eastAsia"/>
          <w:b/>
          <w:sz w:val="32"/>
          <w:szCs w:val="32"/>
        </w:rPr>
        <w:t>第一条</w:t>
      </w:r>
      <w:r w:rsidRPr="00765600">
        <w:rPr>
          <w:rFonts w:ascii="仿宋" w:eastAsia="仿宋" w:hAnsi="仿宋" w:hint="eastAsia"/>
          <w:sz w:val="32"/>
          <w:szCs w:val="32"/>
        </w:rPr>
        <w:t>为深化审判权运行机制改革，合理定位审判委员会职能，规范审判委员会工作程序，根据《最高人民法院关于改革和完善人民法院审判委员会制度的实施意见》和《最高人民法院关于完善人民法院司法责任制的若干意见》等规定，结合审判工作实际，制定本规则。</w:t>
      </w:r>
    </w:p>
    <w:p w:rsidR="00595CC2" w:rsidRPr="00765600" w:rsidRDefault="00595CC2" w:rsidP="00595CC2">
      <w:pPr>
        <w:ind w:rightChars="-181" w:right="-380" w:firstLineChars="221" w:firstLine="710"/>
        <w:rPr>
          <w:rFonts w:ascii="仿宋" w:eastAsia="仿宋" w:hAnsi="仿宋"/>
          <w:sz w:val="32"/>
          <w:szCs w:val="32"/>
        </w:rPr>
      </w:pPr>
      <w:r w:rsidRPr="00765600">
        <w:rPr>
          <w:rFonts w:ascii="仿宋" w:eastAsia="仿宋" w:hAnsi="仿宋" w:hint="eastAsia"/>
          <w:b/>
          <w:sz w:val="32"/>
          <w:szCs w:val="32"/>
        </w:rPr>
        <w:t>第二条</w:t>
      </w:r>
      <w:r w:rsidRPr="00765600">
        <w:rPr>
          <w:rFonts w:ascii="仿宋" w:eastAsia="仿宋" w:hAnsi="仿宋" w:hint="eastAsia"/>
          <w:sz w:val="32"/>
          <w:szCs w:val="32"/>
        </w:rPr>
        <w:t>院审判委员会是本院最高审判组织，履行总结审判经验、统一法律适用、实施审判管理的职能。</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审判委员会的主要职责是:</w:t>
      </w:r>
    </w:p>
    <w:p w:rsidR="00595CC2" w:rsidRPr="00765600" w:rsidRDefault="00595CC2" w:rsidP="00595CC2">
      <w:pPr>
        <w:ind w:rightChars="-181" w:right="-380" w:firstLineChars="200" w:firstLine="640"/>
        <w:rPr>
          <w:rFonts w:ascii="仿宋" w:eastAsia="仿宋" w:hAnsi="仿宋"/>
          <w:sz w:val="32"/>
          <w:szCs w:val="32"/>
        </w:rPr>
      </w:pPr>
      <w:r w:rsidRPr="00765600">
        <w:rPr>
          <w:rFonts w:ascii="仿宋" w:eastAsia="仿宋" w:hAnsi="仿宋" w:hint="eastAsia"/>
          <w:sz w:val="32"/>
          <w:szCs w:val="32"/>
        </w:rPr>
        <w:t>（一）讨论决定重大、疑难、复杂案件的法律适用问题；</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（二）结合本院审判工作实际，总结审判工作经验；</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（三）监督指导本院审判工作；</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（四）分析研判本院审判工作运行态势，实施审判管理和监督；</w:t>
      </w:r>
    </w:p>
    <w:p w:rsidR="00595CC2" w:rsidRPr="00765600" w:rsidRDefault="00595CC2" w:rsidP="00595CC2">
      <w:pPr>
        <w:ind w:rightChars="-181" w:right="-380" w:firstLineChars="200" w:firstLine="640"/>
        <w:rPr>
          <w:rFonts w:ascii="仿宋" w:eastAsia="仿宋" w:hAnsi="仿宋"/>
          <w:sz w:val="32"/>
          <w:szCs w:val="32"/>
        </w:rPr>
      </w:pPr>
      <w:r w:rsidRPr="00765600">
        <w:rPr>
          <w:rFonts w:ascii="仿宋" w:eastAsia="仿宋" w:hAnsi="仿宋" w:hint="eastAsia"/>
          <w:sz w:val="32"/>
          <w:szCs w:val="32"/>
        </w:rPr>
        <w:t>（五）决定院长回避问题；</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（六）讨论决定其他有关审判工作的重大事项。</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第三条审判委员会讨论决定案件或者事项实行民主集中制，委员应当客观、公正、独立、平等发表意见。审判委员会</w:t>
      </w:r>
      <w:r w:rsidRPr="00765600">
        <w:rPr>
          <w:rFonts w:ascii="仿宋" w:eastAsia="仿宋" w:hAnsi="仿宋" w:hint="eastAsia"/>
          <w:sz w:val="32"/>
          <w:szCs w:val="32"/>
        </w:rPr>
        <w:lastRenderedPageBreak/>
        <w:t>讨论案件按照全体应当参会委员二分之一以上多数意见作出决定，少数委员的意见应当记录在卷。</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第四条审判委员会委员在审判委员会会议上发表意见不受追究，在讨论时，有发表赞成、反对、保留意见或者提出新意见的权利。</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第五条审判委员会设专业委员会，专业委员会分为刑事专业委员会和民事、执行专业委员会。</w:t>
      </w:r>
    </w:p>
    <w:p w:rsidR="00595CC2" w:rsidRPr="00765600" w:rsidRDefault="00595CC2" w:rsidP="00595CC2">
      <w:pPr>
        <w:ind w:rightChars="-181" w:right="-380"/>
        <w:rPr>
          <w:rFonts w:ascii="仿宋" w:eastAsia="仿宋" w:hAnsi="仿宋"/>
          <w:sz w:val="32"/>
          <w:szCs w:val="32"/>
        </w:rPr>
      </w:pPr>
      <w:r w:rsidRPr="00765600">
        <w:rPr>
          <w:rFonts w:ascii="仿宋" w:eastAsia="仿宋" w:hAnsi="仿宋" w:hint="eastAsia"/>
          <w:sz w:val="32"/>
          <w:szCs w:val="32"/>
        </w:rPr>
        <w:t>第六条刑事专业委员会研究决定刑事审判工作的重大问题，具体包括：</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（一）有重大影响、社会广泛关注的刑事案件；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（二）合议庭拟在法定刑以下量刑处罚的案件或者免于刑事处罚的案件；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（三）合议庭拟作出无罪判决的案件；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（四）本院已经发生法律效力的判决、裁定、调解书确有错误需要提起再审或者再审改判的刑事案件；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（五）人民检察院依照审判监督程序提出抗诉的刑事案件；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（六）对法律适用问题具有指导意义的刑事案件；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（七）院长或者分管院领导认为应当提交讨论的其他重大、疑难、复杂刑事案件或者其他事项。</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第七条审判委员会全体会议讨论决定下列议题：</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（一）经专业委员会讨论未形成二分之一以上多数意见的案件；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lastRenderedPageBreak/>
        <w:t>（二）经专业委员会讨论决定提交全体委员会讨论的案件。</w:t>
      </w:r>
    </w:p>
    <w:p w:rsidR="00595CC2" w:rsidRPr="00765600" w:rsidRDefault="00595CC2" w:rsidP="00595CC2">
      <w:pPr>
        <w:ind w:rightChars="-181" w:right="-380" w:firstLine="566"/>
        <w:rPr>
          <w:rFonts w:ascii="仿宋" w:eastAsia="仿宋" w:hAnsi="仿宋"/>
          <w:sz w:val="32"/>
          <w:szCs w:val="32"/>
        </w:rPr>
      </w:pPr>
      <w:r w:rsidRPr="00765600">
        <w:rPr>
          <w:rFonts w:ascii="仿宋" w:eastAsia="仿宋" w:hAnsi="仿宋" w:hint="eastAsia"/>
          <w:sz w:val="32"/>
          <w:szCs w:val="32"/>
        </w:rPr>
        <w:t>（三）院长认为应当提交讨论的其他重大、疑难、复杂案件或者其他事项。</w:t>
      </w:r>
    </w:p>
    <w:p w:rsidR="00595CC2" w:rsidRPr="00765600" w:rsidRDefault="00595CC2" w:rsidP="00595CC2">
      <w:pPr>
        <w:ind w:rightChars="-181" w:right="-380"/>
        <w:jc w:val="left"/>
        <w:rPr>
          <w:rFonts w:ascii="仿宋" w:eastAsia="仿宋" w:hAnsi="仿宋"/>
          <w:sz w:val="32"/>
          <w:szCs w:val="32"/>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审判委员会会议组织</w:t>
      </w:r>
    </w:p>
    <w:p w:rsidR="00595CC2" w:rsidRPr="00765600" w:rsidRDefault="00595CC2" w:rsidP="00595CC2">
      <w:pPr>
        <w:ind w:rightChars="-181" w:right="-380"/>
        <w:jc w:val="left"/>
        <w:rPr>
          <w:rFonts w:ascii="仿宋" w:eastAsia="仿宋" w:hAnsi="仿宋"/>
          <w:sz w:val="32"/>
          <w:szCs w:val="32"/>
        </w:rPr>
      </w:pP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第九条审判委员会实行例会制度。经主持人批准，可以根据工作实际临时变动会议日期或者增减会议次数。</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theme="minorBidi" w:hint="eastAsia"/>
          <w:sz w:val="32"/>
          <w:szCs w:val="32"/>
        </w:rPr>
        <w:t>第十条</w:t>
      </w:r>
      <w:r w:rsidRPr="00765600">
        <w:rPr>
          <w:rFonts w:ascii="仿宋" w:eastAsia="仿宋" w:hAnsi="仿宋" w:cs="仿宋" w:hint="eastAsia"/>
          <w:sz w:val="32"/>
          <w:szCs w:val="32"/>
        </w:rPr>
        <w:t>审判委员会全体委员姓名、职务等信息，应当通过本院司法公开网站或者以其他方式对外公开。</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第十一条审判委员会全体会议由院长主持召开，院长不能主持时，应当指定一名副院长主持。审判委员会专业委员会由院长或者其委托的副院长主持。</w:t>
      </w:r>
    </w:p>
    <w:p w:rsidR="00595CC2" w:rsidRPr="00765600" w:rsidRDefault="00595CC2" w:rsidP="00595CC2">
      <w:pPr>
        <w:ind w:rightChars="-181" w:right="-380" w:firstLineChars="221" w:firstLine="707"/>
        <w:rPr>
          <w:rFonts w:ascii="仿宋" w:eastAsia="仿宋" w:hAnsi="仿宋"/>
          <w:sz w:val="32"/>
          <w:szCs w:val="32"/>
        </w:rPr>
      </w:pPr>
      <w:r w:rsidRPr="00765600">
        <w:rPr>
          <w:rFonts w:ascii="仿宋" w:eastAsia="仿宋" w:hAnsi="仿宋" w:hint="eastAsia"/>
          <w:sz w:val="32"/>
          <w:szCs w:val="32"/>
        </w:rPr>
        <w:t>第十二条审判委员会讨论案件，依法实行回避制度。审判委员会委员遇有法律规定应当回避的情形，应当主动提出回避，并报院长决定。</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第十三条召开审判委员会会议，应当有全体委员二分之一以上出席方可以进行。</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第十四条下列人员可以列席审判委员会会议：</w:t>
      </w:r>
    </w:p>
    <w:p w:rsidR="00595CC2" w:rsidRPr="00765600" w:rsidRDefault="00595CC2" w:rsidP="00595CC2">
      <w:pPr>
        <w:ind w:rightChars="-181" w:right="-380" w:firstLineChars="177" w:firstLine="566"/>
        <w:rPr>
          <w:rFonts w:ascii="仿宋" w:eastAsia="仿宋" w:hAnsi="仿宋"/>
          <w:sz w:val="32"/>
          <w:szCs w:val="32"/>
        </w:rPr>
      </w:pPr>
      <w:r w:rsidRPr="00765600">
        <w:rPr>
          <w:rFonts w:ascii="仿宋" w:eastAsia="仿宋" w:hAnsi="仿宋" w:hint="eastAsia"/>
          <w:sz w:val="32"/>
          <w:szCs w:val="32"/>
        </w:rPr>
        <w:t>（一）承办案件的合议庭成员或者与汇报事项相关的责任人；</w:t>
      </w:r>
    </w:p>
    <w:p w:rsidR="00595CC2" w:rsidRPr="00765600" w:rsidRDefault="00595CC2" w:rsidP="00595CC2">
      <w:pPr>
        <w:ind w:rightChars="-181" w:right="-380" w:firstLineChars="177" w:firstLine="566"/>
        <w:rPr>
          <w:rFonts w:ascii="仿宋" w:eastAsia="仿宋" w:hAnsi="仿宋"/>
          <w:sz w:val="32"/>
          <w:szCs w:val="32"/>
        </w:rPr>
      </w:pPr>
      <w:r w:rsidRPr="00765600">
        <w:rPr>
          <w:rFonts w:ascii="仿宋" w:eastAsia="仿宋" w:hAnsi="仿宋" w:hint="eastAsia"/>
          <w:sz w:val="32"/>
          <w:szCs w:val="32"/>
        </w:rPr>
        <w:t>（二）承办案件、事项的审判庭或者部门负责人；</w:t>
      </w:r>
    </w:p>
    <w:p w:rsidR="00595CC2" w:rsidRPr="00765600" w:rsidRDefault="00595CC2" w:rsidP="00595CC2">
      <w:pPr>
        <w:ind w:rightChars="-181" w:right="-380" w:firstLineChars="177" w:firstLine="566"/>
        <w:rPr>
          <w:rFonts w:ascii="仿宋" w:eastAsia="仿宋" w:hAnsi="仿宋"/>
          <w:sz w:val="32"/>
          <w:szCs w:val="32"/>
        </w:rPr>
      </w:pPr>
      <w:r w:rsidRPr="00765600">
        <w:rPr>
          <w:rFonts w:ascii="仿宋" w:eastAsia="仿宋" w:hAnsi="仿宋" w:hint="eastAsia"/>
          <w:sz w:val="32"/>
          <w:szCs w:val="32"/>
        </w:rPr>
        <w:lastRenderedPageBreak/>
        <w:t>（三）拟再审案件的原审合议庭成员及审判庭负责人；</w:t>
      </w:r>
    </w:p>
    <w:p w:rsidR="00595CC2" w:rsidRPr="00765600" w:rsidRDefault="00595CC2" w:rsidP="00595CC2">
      <w:pPr>
        <w:ind w:rightChars="-181" w:right="-380" w:firstLineChars="177" w:firstLine="566"/>
        <w:rPr>
          <w:rFonts w:ascii="仿宋" w:eastAsia="仿宋" w:hAnsi="仿宋"/>
          <w:sz w:val="32"/>
          <w:szCs w:val="32"/>
        </w:rPr>
      </w:pPr>
      <w:r w:rsidRPr="00765600">
        <w:rPr>
          <w:rFonts w:ascii="仿宋" w:eastAsia="仿宋" w:hAnsi="仿宋" w:hint="eastAsia"/>
          <w:sz w:val="32"/>
          <w:szCs w:val="32"/>
        </w:rPr>
        <w:t>（四）其他有必要列席的人员。</w:t>
      </w:r>
    </w:p>
    <w:p w:rsidR="00595CC2" w:rsidRPr="00765600" w:rsidRDefault="00595CC2" w:rsidP="00595CC2">
      <w:pPr>
        <w:ind w:rightChars="-181" w:right="-380" w:firstLineChars="221" w:firstLine="707"/>
        <w:rPr>
          <w:rFonts w:ascii="仿宋" w:eastAsia="仿宋" w:hAnsi="仿宋"/>
          <w:sz w:val="32"/>
          <w:szCs w:val="32"/>
        </w:rPr>
      </w:pPr>
      <w:r w:rsidRPr="00765600">
        <w:rPr>
          <w:rFonts w:ascii="仿宋" w:eastAsia="仿宋" w:hAnsi="仿宋" w:hint="eastAsia"/>
          <w:sz w:val="32"/>
          <w:szCs w:val="32"/>
        </w:rPr>
        <w:t>经主持人同意，列席人员可以提供说明或者表达意见，但不参与表决。</w:t>
      </w:r>
    </w:p>
    <w:p w:rsidR="00595CC2" w:rsidRPr="00765600" w:rsidRDefault="00595CC2" w:rsidP="00595CC2">
      <w:pPr>
        <w:ind w:rightChars="-181" w:right="-380" w:firstLineChars="177" w:firstLine="566"/>
        <w:rPr>
          <w:rFonts w:ascii="仿宋" w:eastAsia="仿宋" w:hAnsi="仿宋"/>
          <w:sz w:val="32"/>
          <w:szCs w:val="32"/>
        </w:rPr>
      </w:pPr>
      <w:r w:rsidRPr="00765600">
        <w:rPr>
          <w:rFonts w:ascii="仿宋" w:eastAsia="仿宋" w:hAnsi="仿宋" w:hint="eastAsia"/>
          <w:sz w:val="32"/>
          <w:szCs w:val="32"/>
        </w:rPr>
        <w:t>第十五条审判委员会讨论检察监督案件或者与检察工作相关事项时，同级人民检察院检察长或者其指派的副检察长应当列席。检察长或者副检察长在承办人汇报完毕、委员表决前可以发表意见，并应当记录在卷。其他规定应当参照《人民检察院检察长列席人民法院审判委员会会议实施办法》执行。</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第十七条审判管理办公室是审判委员会的常设工作机构，负责处理审判委员会日常事务性工作，根据审判委员会授权，落实审判委员会交办事项。</w:t>
      </w:r>
    </w:p>
    <w:p w:rsidR="00595CC2" w:rsidRPr="00765600" w:rsidRDefault="00595CC2" w:rsidP="00595CC2">
      <w:pPr>
        <w:ind w:rightChars="-181" w:right="-380" w:firstLineChars="221" w:firstLine="707"/>
        <w:rPr>
          <w:rFonts w:ascii="仿宋" w:eastAsia="仿宋" w:hAnsi="仿宋" w:cs="仿宋"/>
          <w:sz w:val="32"/>
          <w:szCs w:val="32"/>
        </w:rPr>
      </w:pPr>
      <w:r w:rsidRPr="00765600">
        <w:rPr>
          <w:rFonts w:ascii="仿宋" w:eastAsia="仿宋" w:hAnsi="仿宋" w:hint="eastAsia"/>
          <w:sz w:val="32"/>
          <w:szCs w:val="32"/>
        </w:rPr>
        <w:t>第十八条</w:t>
      </w:r>
      <w:r w:rsidRPr="00765600">
        <w:rPr>
          <w:rFonts w:ascii="仿宋" w:eastAsia="仿宋" w:hAnsi="仿宋" w:cs="仿宋" w:hint="eastAsia"/>
          <w:sz w:val="32"/>
          <w:szCs w:val="32"/>
        </w:rPr>
        <w:t>审判管理办公室设审判委员会秘书。审判委员会秘书承担下列职责：</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（一）办理审判委员会会务；</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（二）组织审判委员会委员旁听案件庭审；</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（三）审查提请审判委员会讨论的案件或者有关事项的材料；</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（四）办理提请审判委员会讨论的案件或者有关事项的登记和排期；</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（五）整理、呈送会议讨论材料；</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（六）通知审判委员会委员和有关人员出席、列席会议；</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lastRenderedPageBreak/>
        <w:t>（七）整理审判委员会会议记录；</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（八）撰写审判委员会会议纪要；</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（九）负责审判委员会讨论通过的有关案例的整理、公布；</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（十）按审判委员会授权督办决议事项；</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（十一）负责对审判委员会委员的考勤工作；</w:t>
      </w:r>
    </w:p>
    <w:p w:rsidR="00595CC2" w:rsidRPr="00765600" w:rsidRDefault="00595CC2" w:rsidP="00595CC2">
      <w:pPr>
        <w:pStyle w:val="NewNewNewNewNewNewNewNewNewNewNewNewNewNewNewNewNewNewNewNewNewNewNewNewNewNewNewNewNewNewNewNew"/>
        <w:ind w:rightChars="-181" w:right="-380" w:firstLineChars="200" w:firstLine="640"/>
        <w:rPr>
          <w:rFonts w:ascii="仿宋" w:eastAsia="仿宋" w:hAnsi="仿宋" w:cs="仿宋"/>
          <w:sz w:val="32"/>
          <w:szCs w:val="32"/>
        </w:rPr>
      </w:pPr>
      <w:r w:rsidRPr="00765600">
        <w:rPr>
          <w:rFonts w:ascii="仿宋" w:eastAsia="仿宋" w:hAnsi="仿宋" w:cs="仿宋" w:hint="eastAsia"/>
          <w:sz w:val="32"/>
          <w:szCs w:val="32"/>
        </w:rPr>
        <w:t>（十二）承担审判委员会交办的其他工作。</w:t>
      </w:r>
    </w:p>
    <w:p w:rsidR="00595CC2" w:rsidRPr="00765600" w:rsidRDefault="00595CC2" w:rsidP="00595CC2">
      <w:pPr>
        <w:ind w:rightChars="-181" w:right="-380" w:firstLineChars="221" w:firstLine="707"/>
        <w:jc w:val="left"/>
        <w:rPr>
          <w:rFonts w:ascii="仿宋" w:eastAsia="仿宋" w:hAnsi="仿宋" w:cs="仿宋"/>
          <w:sz w:val="32"/>
          <w:szCs w:val="32"/>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审判委员会会议程序</w:t>
      </w:r>
    </w:p>
    <w:p w:rsidR="00595CC2" w:rsidRPr="00765600" w:rsidRDefault="00595CC2" w:rsidP="00595CC2">
      <w:pPr>
        <w:ind w:rightChars="-181" w:right="-380" w:firstLineChars="177" w:firstLine="566"/>
        <w:jc w:val="left"/>
        <w:rPr>
          <w:rFonts w:ascii="仿宋" w:eastAsia="仿宋" w:hAnsi="仿宋"/>
          <w:sz w:val="32"/>
          <w:szCs w:val="32"/>
        </w:rPr>
      </w:pP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十九条议题汇报人须登录审判委员会应用系统上传汇报材料并提请审批。第一级审批人为本部门负责人，部门负责人应当按本规定确定的议题研究范围进行审核，格式、内容不规范应予退回；部门负责人审批同意后应当上报第二级审批人即主管院领导审批。经主管院领导审批后，该议题等待上会安排。</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二十条案件审理报告应当格式规范，应当写明提请理由及需要审判委员会研究的重点问题。案件议题应当列明当事人的基本情况、案件由来及诉讼过程、历次审理情况、本次审理的事实认定、合议庭意见和理由、专业法官会议讨论情况、需要说明的问题等，并将适用法律、法规及司法解释附后。合议庭未形成多数意见的，不能提交审判委员会讨论研究。</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第二十一条汇报人根据需要可以采用多种形式进行汇报。</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lastRenderedPageBreak/>
        <w:t>第二十二条拟对本院生效裁判改判的，提交审判委员会讨论研究之前应当与本院原合议庭交换意见，并在汇报材料里列明。原裁判或者该案系经审判委员会讨论的，应当在审理报告中注明前次讨论日期、参加委员人数、主要意见及讨论结果。</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第二十三条审判委员会委员应当事先审阅会议材料，了解合议庭对法律适用问题的不同意见和理由、承办部门办理的基本情况等，必要时可以调阅相关文件、案卷及庭审音频视频资料等。</w:t>
      </w:r>
    </w:p>
    <w:p w:rsidR="00595CC2" w:rsidRPr="00765600" w:rsidRDefault="00595CC2" w:rsidP="00595CC2">
      <w:pPr>
        <w:pStyle w:val="a6"/>
        <w:widowControl/>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第二十四条审判委员会会议讨论应当按照以下程序进行：</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案件的承办法官或者其他事项的承办人进行汇报；</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审判长、部门负责人补充说明情况；</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分管院领导补充说明情况；</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委员就有关问题进行询问；</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委员按照法官等级和资历由低到高顺序发表意见，主持人最后发表意见；</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主持人主持表决；</w:t>
      </w:r>
    </w:p>
    <w:p w:rsidR="00595CC2" w:rsidRPr="00765600" w:rsidRDefault="00595CC2" w:rsidP="00595CC2">
      <w:pPr>
        <w:pStyle w:val="a6"/>
        <w:widowControl/>
        <w:numPr>
          <w:ilvl w:val="0"/>
          <w:numId w:val="1"/>
        </w:numPr>
        <w:spacing w:before="0" w:beforeAutospacing="0" w:after="0" w:afterAutospacing="0"/>
        <w:ind w:rightChars="-181" w:right="-380" w:firstLineChars="200" w:firstLine="640"/>
        <w:rPr>
          <w:rFonts w:ascii="仿宋" w:hAnsi="仿宋" w:cstheme="minorBidi"/>
          <w:kern w:val="2"/>
          <w:sz w:val="32"/>
          <w:szCs w:val="32"/>
        </w:rPr>
      </w:pPr>
      <w:r w:rsidRPr="00765600">
        <w:rPr>
          <w:rFonts w:ascii="仿宋" w:hAnsi="仿宋" w:cstheme="minorBidi" w:hint="eastAsia"/>
          <w:kern w:val="2"/>
          <w:sz w:val="32"/>
          <w:szCs w:val="32"/>
        </w:rPr>
        <w:t>主持人宣布表决结果及审判委员会决定。</w:t>
      </w:r>
    </w:p>
    <w:p w:rsidR="00595CC2" w:rsidRPr="00765600" w:rsidRDefault="00595CC2" w:rsidP="00595CC2">
      <w:pPr>
        <w:ind w:rightChars="-181" w:right="-380" w:firstLineChars="177" w:firstLine="566"/>
        <w:jc w:val="left"/>
        <w:rPr>
          <w:rFonts w:ascii="仿宋" w:eastAsia="仿宋" w:hAnsi="仿宋"/>
          <w:sz w:val="32"/>
          <w:szCs w:val="32"/>
        </w:rPr>
      </w:pPr>
      <w:r w:rsidRPr="00765600">
        <w:rPr>
          <w:rFonts w:ascii="仿宋" w:eastAsia="仿宋" w:hAnsi="仿宋" w:hint="eastAsia"/>
          <w:sz w:val="32"/>
          <w:szCs w:val="32"/>
        </w:rPr>
        <w:t>第二十五条事项承办部门在提交需审判委员会讨论决定的事项议题前，应当将讨论材料发送审判委员会委员及相关部门征求意见。审判委员会委员在会前应当仔细阅读、提出修改意见建议，事项承办部门需经过至少一次修改，方可以提交审判委员会研究。</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lastRenderedPageBreak/>
        <w:t>第二十六条审判委员会的决定，承办案件的合议庭或者事项承办部门应当执行。</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第二十七条审判委员会专业委员会讨论案件，根据以下情形分别处理：</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持多数意见的委员超过专业委员会全体委员二分之一的，该多数意见即为审判委员会决定，合议庭应当执行；</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持多数意见的委员未超过专业委员会全体委员二分之一的，专业委员会应当将案件提交审判委员会全体会议讨论决定。</w:t>
      </w:r>
    </w:p>
    <w:p w:rsidR="00595CC2" w:rsidRPr="00765600" w:rsidRDefault="00595CC2" w:rsidP="00595CC2">
      <w:pPr>
        <w:ind w:rightChars="-181" w:right="-380" w:firstLineChars="202" w:firstLine="646"/>
        <w:rPr>
          <w:rFonts w:ascii="仿宋" w:eastAsia="仿宋" w:hAnsi="仿宋"/>
          <w:sz w:val="32"/>
          <w:szCs w:val="32"/>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审判委员会决议落实</w:t>
      </w:r>
    </w:p>
    <w:p w:rsidR="00595CC2" w:rsidRPr="00765600" w:rsidRDefault="00595CC2" w:rsidP="00595CC2">
      <w:pPr>
        <w:ind w:rightChars="-181" w:right="-380"/>
        <w:jc w:val="center"/>
        <w:rPr>
          <w:rFonts w:ascii="仿宋" w:eastAsia="仿宋" w:hAnsi="仿宋"/>
          <w:sz w:val="32"/>
          <w:szCs w:val="32"/>
        </w:rPr>
      </w:pPr>
    </w:p>
    <w:p w:rsidR="00595CC2" w:rsidRPr="00765600" w:rsidRDefault="00595CC2" w:rsidP="00765600">
      <w:pPr>
        <w:pStyle w:val="NewNewNewNewNewNewNewNewNewNewNewNewNewNewNewNewNewNewNewNewNewNewNewNewNewNewNewNewNewNewNewNew"/>
        <w:tabs>
          <w:tab w:val="right" w:leader="dot" w:pos="9000"/>
        </w:tabs>
        <w:ind w:rightChars="-181" w:right="-380" w:firstLineChars="200" w:firstLine="640"/>
        <w:rPr>
          <w:rFonts w:ascii="仿宋" w:eastAsia="仿宋" w:hAnsi="仿宋"/>
          <w:sz w:val="32"/>
          <w:szCs w:val="32"/>
        </w:rPr>
      </w:pPr>
      <w:r w:rsidRPr="00765600">
        <w:rPr>
          <w:rFonts w:ascii="仿宋" w:eastAsia="仿宋" w:hAnsi="仿宋" w:cstheme="minorBidi" w:hint="eastAsia"/>
          <w:sz w:val="32"/>
          <w:szCs w:val="32"/>
        </w:rPr>
        <w:t>第二十八条</w:t>
      </w:r>
      <w:r w:rsidRPr="00765600">
        <w:rPr>
          <w:rFonts w:ascii="仿宋" w:eastAsia="仿宋" w:hAnsi="仿宋" w:hint="eastAsia"/>
          <w:sz w:val="32"/>
          <w:szCs w:val="32"/>
        </w:rPr>
        <w:t>审判委员会会议由</w:t>
      </w:r>
      <w:r w:rsidRPr="00765600">
        <w:rPr>
          <w:rFonts w:ascii="仿宋" w:eastAsia="仿宋" w:hAnsi="仿宋" w:cs="仿宋" w:hint="eastAsia"/>
          <w:sz w:val="32"/>
          <w:szCs w:val="32"/>
        </w:rPr>
        <w:t>审判委员会秘书</w:t>
      </w:r>
      <w:r w:rsidRPr="00765600">
        <w:rPr>
          <w:rFonts w:ascii="仿宋" w:eastAsia="仿宋" w:hAnsi="仿宋" w:hint="eastAsia"/>
          <w:sz w:val="32"/>
          <w:szCs w:val="32"/>
        </w:rPr>
        <w:t>负责组织记录。记录应当完整、准确反映与会者的观点和会议结论。会议记录经出席会议的委员全部签名确认后由审判委员会秘书提交相关部门。审判委员会会议记录应当存入副卷。</w:t>
      </w:r>
    </w:p>
    <w:p w:rsidR="00595CC2" w:rsidRPr="00765600" w:rsidRDefault="00595CC2" w:rsidP="00595CC2">
      <w:pPr>
        <w:ind w:rightChars="-181" w:right="-380" w:firstLineChars="177" w:firstLine="566"/>
        <w:jc w:val="left"/>
        <w:rPr>
          <w:rFonts w:ascii="仿宋" w:eastAsia="仿宋" w:hAnsi="仿宋"/>
          <w:sz w:val="32"/>
          <w:szCs w:val="32"/>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审判委员会委员履职保障和监督</w:t>
      </w:r>
    </w:p>
    <w:p w:rsidR="00595CC2" w:rsidRPr="00765600" w:rsidRDefault="00595CC2" w:rsidP="00595CC2">
      <w:pPr>
        <w:ind w:rightChars="-181" w:right="-380"/>
        <w:jc w:val="center"/>
        <w:rPr>
          <w:rFonts w:ascii="仿宋" w:eastAsia="仿宋" w:hAnsi="仿宋"/>
          <w:sz w:val="32"/>
          <w:szCs w:val="32"/>
        </w:rPr>
      </w:pP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w:t>
      </w:r>
      <w:r w:rsidR="00765600" w:rsidRPr="00765600">
        <w:rPr>
          <w:rFonts w:ascii="仿宋" w:eastAsia="仿宋" w:hAnsi="仿宋" w:hint="eastAsia"/>
          <w:sz w:val="32"/>
          <w:szCs w:val="32"/>
        </w:rPr>
        <w:t>二十九</w:t>
      </w:r>
      <w:r w:rsidRPr="00765600">
        <w:rPr>
          <w:rFonts w:ascii="仿宋" w:eastAsia="仿宋" w:hAnsi="仿宋" w:hint="eastAsia"/>
          <w:sz w:val="32"/>
          <w:szCs w:val="32"/>
        </w:rPr>
        <w:t>条审判委员会委员参加审判委员会讨论或者直接审理案件，除确有证据证明存在贪污受贿、徇私舞弊、枉法裁判等严重违纪违法和违反法官职业道德的行为以外，依法履职行为不得暂停或者终止。</w:t>
      </w:r>
    </w:p>
    <w:p w:rsidR="00595CC2" w:rsidRPr="00765600" w:rsidRDefault="00595CC2" w:rsidP="00595CC2">
      <w:pPr>
        <w:ind w:rightChars="-181" w:right="-380" w:firstLineChars="202" w:firstLine="646"/>
        <w:rPr>
          <w:rFonts w:ascii="仿宋" w:eastAsia="仿宋" w:hAnsi="仿宋"/>
          <w:color w:val="FF0000"/>
          <w:sz w:val="32"/>
          <w:szCs w:val="32"/>
        </w:rPr>
      </w:pPr>
      <w:r w:rsidRPr="00765600">
        <w:rPr>
          <w:rFonts w:ascii="仿宋" w:eastAsia="仿宋" w:hAnsi="仿宋" w:hint="eastAsia"/>
          <w:sz w:val="32"/>
          <w:szCs w:val="32"/>
        </w:rPr>
        <w:lastRenderedPageBreak/>
        <w:t>第三十条审判委员会委员依法履职不受行政机关、社会团体和个人的干涉。任何组织和个人违法干预、过问、插手委员参加审判委员会讨论和审理案件的，依照</w:t>
      </w:r>
      <w:r w:rsidRPr="00765600">
        <w:rPr>
          <w:rFonts w:ascii="仿宋" w:eastAsia="仿宋" w:hAnsi="仿宋" w:cs="Times New Roman" w:hint="eastAsia"/>
          <w:color w:val="FF0000"/>
          <w:sz w:val="32"/>
          <w:szCs w:val="32"/>
        </w:rPr>
        <w:t>《吉林省高级人民法院关于落实&lt;领导干部干预司法活动、插手具体案件处理的记录、通报和责任追究规定&gt;的实施细则》</w:t>
      </w:r>
      <w:r w:rsidRPr="00765600">
        <w:rPr>
          <w:rFonts w:ascii="仿宋" w:eastAsia="仿宋" w:hAnsi="仿宋" w:hint="eastAsia"/>
          <w:sz w:val="32"/>
          <w:szCs w:val="32"/>
        </w:rPr>
        <w:t>《领导干部干预司法活动、插手具体案件处理的记录、通报和责任追究规定》、《司法机关内部人员过问案件的记录和责任追究规定》等规定予以记录、通报和追究责任。</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w:t>
      </w:r>
      <w:r w:rsidR="00765600" w:rsidRPr="00765600">
        <w:rPr>
          <w:rFonts w:ascii="仿宋" w:eastAsia="仿宋" w:hAnsi="仿宋" w:hint="eastAsia"/>
          <w:sz w:val="32"/>
          <w:szCs w:val="32"/>
        </w:rPr>
        <w:t>三十一</w:t>
      </w:r>
      <w:r w:rsidRPr="00765600">
        <w:rPr>
          <w:rFonts w:ascii="仿宋" w:eastAsia="仿宋" w:hAnsi="仿宋" w:hint="eastAsia"/>
          <w:sz w:val="32"/>
          <w:szCs w:val="32"/>
        </w:rPr>
        <w:t>条审判委员会委员因依法履职遭受不实举报、诬告陷害，致使名誉受损的，本院监察部门、新闻宣传部门等应当及时采取有效措施，澄清事实真相，消除不良影响，维护委员良好声誉，并对相关责任人移送有关部门依法追究责任。</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第三十</w:t>
      </w:r>
      <w:r w:rsidR="00765600" w:rsidRPr="00765600">
        <w:rPr>
          <w:rFonts w:ascii="仿宋" w:eastAsia="仿宋" w:hAnsi="仿宋" w:hint="eastAsia"/>
          <w:sz w:val="32"/>
          <w:szCs w:val="32"/>
        </w:rPr>
        <w:t>二</w:t>
      </w:r>
      <w:r w:rsidRPr="00765600">
        <w:rPr>
          <w:rFonts w:ascii="仿宋" w:eastAsia="仿宋" w:hAnsi="仿宋" w:hint="eastAsia"/>
          <w:sz w:val="32"/>
          <w:szCs w:val="32"/>
        </w:rPr>
        <w:t>条审判委员会委员参加会议讨论或者直接审理案件，应当对其履行审判职责的行为承担责任，在职责范围内对办案质量终身负责。构成违法审判责任追究情形的，依照《最高人民法院关于完善人民法院司法责任制的若干意见》和相关法律法规处理。</w:t>
      </w:r>
    </w:p>
    <w:p w:rsidR="00595CC2" w:rsidRPr="00765600" w:rsidRDefault="00595CC2" w:rsidP="00595CC2">
      <w:pPr>
        <w:ind w:rightChars="-181" w:right="-380" w:firstLineChars="202" w:firstLine="646"/>
        <w:rPr>
          <w:rFonts w:ascii="仿宋" w:eastAsia="仿宋" w:hAnsi="仿宋"/>
          <w:sz w:val="32"/>
          <w:szCs w:val="32"/>
        </w:rPr>
      </w:pPr>
      <w:r w:rsidRPr="00765600">
        <w:rPr>
          <w:rFonts w:ascii="仿宋" w:eastAsia="仿宋" w:hAnsi="仿宋" w:hint="eastAsia"/>
          <w:sz w:val="32"/>
          <w:szCs w:val="32"/>
        </w:rPr>
        <w:t>第三十</w:t>
      </w:r>
      <w:r w:rsidR="00765600" w:rsidRPr="00765600">
        <w:rPr>
          <w:rFonts w:ascii="仿宋" w:eastAsia="仿宋" w:hAnsi="仿宋" w:hint="eastAsia"/>
          <w:sz w:val="32"/>
          <w:szCs w:val="32"/>
        </w:rPr>
        <w:t>三</w:t>
      </w:r>
      <w:r w:rsidRPr="00765600">
        <w:rPr>
          <w:rFonts w:ascii="仿宋" w:eastAsia="仿宋" w:hAnsi="仿宋" w:hint="eastAsia"/>
          <w:sz w:val="32"/>
          <w:szCs w:val="32"/>
        </w:rPr>
        <w:t>条审判委员会委员对履职过程中获取的相关审判信息应当严格保密，不得私自复印、摘抄和外传。如确系工作需要对外提供的，须经人民法院保密部门审核，并报院长或者主管副院长批准。因泄密造成严重后果的，依法追究相关委员的行政责任、纪律责任和法律责任。</w:t>
      </w:r>
    </w:p>
    <w:p w:rsidR="00595CC2" w:rsidRPr="00765600" w:rsidRDefault="00595CC2" w:rsidP="00595CC2">
      <w:pPr>
        <w:ind w:rightChars="-181" w:right="-380"/>
        <w:jc w:val="center"/>
        <w:rPr>
          <w:rFonts w:ascii="仿宋" w:eastAsia="仿宋" w:hAnsi="仿宋"/>
          <w:sz w:val="32"/>
          <w:szCs w:val="32"/>
        </w:rPr>
      </w:pPr>
    </w:p>
    <w:p w:rsidR="00595CC2" w:rsidRPr="00765600" w:rsidRDefault="00595CC2" w:rsidP="00595CC2">
      <w:pPr>
        <w:pStyle w:val="a5"/>
        <w:numPr>
          <w:ilvl w:val="0"/>
          <w:numId w:val="2"/>
        </w:numPr>
        <w:ind w:rightChars="-181" w:right="-380" w:firstLineChars="0"/>
        <w:jc w:val="center"/>
        <w:rPr>
          <w:rFonts w:ascii="仿宋" w:eastAsia="仿宋" w:hAnsi="仿宋"/>
          <w:sz w:val="32"/>
          <w:szCs w:val="32"/>
        </w:rPr>
      </w:pPr>
      <w:r w:rsidRPr="00765600">
        <w:rPr>
          <w:rFonts w:ascii="仿宋" w:eastAsia="仿宋" w:hAnsi="仿宋" w:hint="eastAsia"/>
          <w:sz w:val="32"/>
          <w:szCs w:val="32"/>
        </w:rPr>
        <w:t>附则</w:t>
      </w:r>
    </w:p>
    <w:p w:rsidR="00595CC2" w:rsidRPr="00765600" w:rsidRDefault="00595CC2" w:rsidP="00595CC2">
      <w:pPr>
        <w:ind w:rightChars="-181" w:right="-380"/>
        <w:jc w:val="center"/>
        <w:rPr>
          <w:rFonts w:ascii="仿宋" w:eastAsia="仿宋" w:hAnsi="仿宋"/>
          <w:sz w:val="32"/>
          <w:szCs w:val="32"/>
        </w:rPr>
      </w:pPr>
    </w:p>
    <w:p w:rsidR="00595CC2" w:rsidRPr="00765600" w:rsidRDefault="00595CC2" w:rsidP="00595CC2">
      <w:pPr>
        <w:ind w:rightChars="-181" w:right="-380" w:firstLineChars="221" w:firstLine="707"/>
        <w:jc w:val="left"/>
        <w:rPr>
          <w:rFonts w:ascii="仿宋" w:eastAsia="仿宋" w:hAnsi="仿宋"/>
          <w:sz w:val="32"/>
          <w:szCs w:val="32"/>
        </w:rPr>
      </w:pPr>
      <w:r w:rsidRPr="00765600">
        <w:rPr>
          <w:rFonts w:ascii="仿宋" w:eastAsia="仿宋" w:hAnsi="仿宋" w:hint="eastAsia"/>
          <w:sz w:val="32"/>
          <w:szCs w:val="32"/>
        </w:rPr>
        <w:t>第</w:t>
      </w:r>
      <w:r w:rsidR="00765600" w:rsidRPr="00765600">
        <w:rPr>
          <w:rFonts w:ascii="仿宋" w:eastAsia="仿宋" w:hAnsi="仿宋" w:hint="eastAsia"/>
          <w:sz w:val="32"/>
          <w:szCs w:val="32"/>
        </w:rPr>
        <w:t>三十四</w:t>
      </w:r>
      <w:r w:rsidRPr="00765600">
        <w:rPr>
          <w:rFonts w:ascii="仿宋" w:eastAsia="仿宋" w:hAnsi="仿宋" w:hint="eastAsia"/>
          <w:sz w:val="32"/>
          <w:szCs w:val="32"/>
        </w:rPr>
        <w:t>条本规则自公布之日起施行。</w:t>
      </w:r>
    </w:p>
    <w:p w:rsidR="00595CC2" w:rsidRPr="00765600" w:rsidRDefault="00595CC2" w:rsidP="00595CC2">
      <w:pPr>
        <w:ind w:rightChars="-181" w:right="-380" w:firstLineChars="221" w:firstLine="707"/>
        <w:jc w:val="left"/>
        <w:rPr>
          <w:rFonts w:ascii="仿宋" w:eastAsia="仿宋" w:hAnsi="仿宋"/>
          <w:sz w:val="32"/>
          <w:szCs w:val="32"/>
        </w:rPr>
      </w:pPr>
    </w:p>
    <w:p w:rsidR="00595CC2" w:rsidRPr="00765600" w:rsidRDefault="00595CC2" w:rsidP="00595CC2">
      <w:pPr>
        <w:jc w:val="left"/>
        <w:rPr>
          <w:rFonts w:ascii="仿宋" w:eastAsia="仿宋" w:hAnsi="仿宋"/>
          <w:sz w:val="32"/>
          <w:szCs w:val="32"/>
        </w:rPr>
      </w:pPr>
    </w:p>
    <w:p w:rsidR="00595CC2" w:rsidRPr="00765600" w:rsidRDefault="00595CC2" w:rsidP="00595CC2">
      <w:pPr>
        <w:pBdr>
          <w:top w:val="single" w:sz="6" w:space="1" w:color="auto"/>
          <w:bottom w:val="single" w:sz="6" w:space="1" w:color="auto"/>
        </w:pBdr>
        <w:rPr>
          <w:rFonts w:ascii="仿宋" w:eastAsia="仿宋" w:hAnsi="仿宋"/>
          <w:sz w:val="32"/>
          <w:szCs w:val="32"/>
        </w:rPr>
      </w:pP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Pr="00765600">
        <w:rPr>
          <w:rFonts w:ascii="仿宋" w:eastAsia="仿宋" w:hAnsi="仿宋" w:hint="eastAsia"/>
          <w:sz w:val="32"/>
          <w:szCs w:val="32"/>
        </w:rPr>
        <w:softHyphen/>
      </w:r>
      <w:r w:rsidR="00765600" w:rsidRPr="00765600">
        <w:rPr>
          <w:rFonts w:ascii="仿宋" w:eastAsia="仿宋" w:hAnsi="仿宋" w:hint="eastAsia"/>
          <w:sz w:val="32"/>
          <w:szCs w:val="32"/>
        </w:rPr>
        <w:t>吉林省敦化林区基层法院审管办</w:t>
      </w:r>
      <w:r w:rsidRPr="00765600">
        <w:rPr>
          <w:rFonts w:ascii="仿宋" w:eastAsia="仿宋" w:hAnsi="仿宋" w:hint="eastAsia"/>
          <w:sz w:val="32"/>
          <w:szCs w:val="32"/>
        </w:rPr>
        <w:t xml:space="preserve">        </w:t>
      </w:r>
      <w:r w:rsidR="004F15A2">
        <w:rPr>
          <w:rFonts w:ascii="仿宋" w:eastAsia="仿宋" w:hAnsi="仿宋" w:hint="eastAsia"/>
          <w:sz w:val="32"/>
          <w:szCs w:val="32"/>
        </w:rPr>
        <w:t>2019</w:t>
      </w:r>
      <w:r w:rsidRPr="00765600">
        <w:rPr>
          <w:rFonts w:ascii="仿宋" w:eastAsia="仿宋" w:hAnsi="仿宋" w:hint="eastAsia"/>
          <w:sz w:val="32"/>
          <w:szCs w:val="32"/>
        </w:rPr>
        <w:t>年</w:t>
      </w:r>
      <w:r w:rsidR="004F15A2">
        <w:rPr>
          <w:rFonts w:ascii="仿宋" w:eastAsia="仿宋" w:hAnsi="仿宋" w:hint="eastAsia"/>
          <w:sz w:val="32"/>
          <w:szCs w:val="32"/>
        </w:rPr>
        <w:t>2</w:t>
      </w:r>
      <w:r w:rsidRPr="00765600">
        <w:rPr>
          <w:rFonts w:ascii="仿宋" w:eastAsia="仿宋" w:hAnsi="仿宋" w:hint="eastAsia"/>
          <w:sz w:val="32"/>
          <w:szCs w:val="32"/>
        </w:rPr>
        <w:t>月</w:t>
      </w:r>
      <w:r w:rsidR="00765600" w:rsidRPr="00765600">
        <w:rPr>
          <w:rFonts w:ascii="仿宋" w:eastAsia="仿宋" w:hAnsi="仿宋" w:hint="eastAsia"/>
          <w:sz w:val="32"/>
          <w:szCs w:val="32"/>
        </w:rPr>
        <w:t>1</w:t>
      </w:r>
      <w:r w:rsidRPr="00765600">
        <w:rPr>
          <w:rFonts w:ascii="仿宋" w:eastAsia="仿宋" w:hAnsi="仿宋" w:hint="eastAsia"/>
          <w:sz w:val="32"/>
          <w:szCs w:val="32"/>
        </w:rPr>
        <w:t>日</w:t>
      </w:r>
    </w:p>
    <w:p w:rsidR="00595CC2" w:rsidRPr="00765600" w:rsidRDefault="00595CC2" w:rsidP="00595CC2">
      <w:pPr>
        <w:ind w:rightChars="-181" w:right="-380"/>
        <w:jc w:val="left"/>
        <w:rPr>
          <w:rFonts w:ascii="仿宋" w:eastAsia="仿宋" w:hAnsi="仿宋"/>
          <w:sz w:val="32"/>
          <w:szCs w:val="32"/>
        </w:rPr>
      </w:pPr>
    </w:p>
    <w:p w:rsidR="00440146" w:rsidRPr="00765600" w:rsidRDefault="00440146">
      <w:pPr>
        <w:rPr>
          <w:rFonts w:ascii="仿宋" w:eastAsia="仿宋" w:hAnsi="仿宋"/>
          <w:sz w:val="32"/>
          <w:szCs w:val="32"/>
        </w:rPr>
      </w:pPr>
    </w:p>
    <w:sectPr w:rsidR="00440146" w:rsidRPr="00765600" w:rsidSect="00411231">
      <w:headerReference w:type="default" r:id="rId7"/>
      <w:footerReference w:type="default" r:id="rId8"/>
      <w:pgSz w:w="11906" w:h="16838"/>
      <w:pgMar w:top="1440" w:right="1841"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27B" w:rsidRDefault="0018127B" w:rsidP="004A4500">
      <w:r>
        <w:separator/>
      </w:r>
    </w:p>
  </w:endnote>
  <w:endnote w:type="continuationSeparator" w:id="1">
    <w:p w:rsidR="0018127B" w:rsidRDefault="0018127B" w:rsidP="004A4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7C" w:rsidRDefault="0018127B">
    <w:pPr>
      <w:pStyle w:val="a4"/>
      <w:jc w:val="center"/>
    </w:pPr>
  </w:p>
  <w:p w:rsidR="00E73B7C" w:rsidRDefault="001812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27B" w:rsidRDefault="0018127B" w:rsidP="004A4500">
      <w:r>
        <w:separator/>
      </w:r>
    </w:p>
  </w:footnote>
  <w:footnote w:type="continuationSeparator" w:id="1">
    <w:p w:rsidR="0018127B" w:rsidRDefault="0018127B" w:rsidP="004A4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D3F" w:rsidRDefault="0018127B" w:rsidP="00EC4B3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D37DF"/>
    <w:multiLevelType w:val="hybridMultilevel"/>
    <w:tmpl w:val="CFDA6D74"/>
    <w:lvl w:ilvl="0" w:tplc="E9D0843E">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683A6C"/>
    <w:multiLevelType w:val="singleLevel"/>
    <w:tmpl w:val="56683A6C"/>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CC2"/>
    <w:rsid w:val="0018127B"/>
    <w:rsid w:val="00440146"/>
    <w:rsid w:val="004A4500"/>
    <w:rsid w:val="004C508A"/>
    <w:rsid w:val="004F15A2"/>
    <w:rsid w:val="00595CC2"/>
    <w:rsid w:val="00765600"/>
    <w:rsid w:val="00ED1E8E"/>
    <w:rsid w:val="00F95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C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CC2"/>
    <w:rPr>
      <w:sz w:val="18"/>
      <w:szCs w:val="18"/>
    </w:rPr>
  </w:style>
  <w:style w:type="paragraph" w:styleId="a4">
    <w:name w:val="footer"/>
    <w:basedOn w:val="a"/>
    <w:link w:val="Char0"/>
    <w:uiPriority w:val="99"/>
    <w:unhideWhenUsed/>
    <w:rsid w:val="00595CC2"/>
    <w:pPr>
      <w:tabs>
        <w:tab w:val="center" w:pos="4153"/>
        <w:tab w:val="right" w:pos="8306"/>
      </w:tabs>
      <w:snapToGrid w:val="0"/>
      <w:jc w:val="left"/>
    </w:pPr>
    <w:rPr>
      <w:sz w:val="18"/>
      <w:szCs w:val="18"/>
    </w:rPr>
  </w:style>
  <w:style w:type="character" w:customStyle="1" w:styleId="Char0">
    <w:name w:val="页脚 Char"/>
    <w:basedOn w:val="a0"/>
    <w:link w:val="a4"/>
    <w:uiPriority w:val="99"/>
    <w:rsid w:val="00595CC2"/>
    <w:rPr>
      <w:sz w:val="18"/>
      <w:szCs w:val="18"/>
    </w:rPr>
  </w:style>
  <w:style w:type="paragraph" w:styleId="a5">
    <w:name w:val="List Paragraph"/>
    <w:basedOn w:val="a"/>
    <w:uiPriority w:val="34"/>
    <w:qFormat/>
    <w:rsid w:val="00595CC2"/>
    <w:pPr>
      <w:ind w:firstLineChars="200" w:firstLine="420"/>
    </w:p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595CC2"/>
    <w:pPr>
      <w:widowControl w:val="0"/>
      <w:jc w:val="both"/>
    </w:pPr>
    <w:rPr>
      <w:rFonts w:ascii="Times New Roman" w:eastAsia="宋体" w:hAnsi="Times New Roman" w:cs="Times New Roman"/>
      <w:szCs w:val="24"/>
    </w:rPr>
  </w:style>
  <w:style w:type="paragraph" w:styleId="a6">
    <w:name w:val="Normal (Web)"/>
    <w:basedOn w:val="a"/>
    <w:uiPriority w:val="99"/>
    <w:unhideWhenUsed/>
    <w:rsid w:val="00595CC2"/>
    <w:pPr>
      <w:spacing w:before="100" w:beforeAutospacing="1" w:after="100" w:afterAutospacing="1"/>
      <w:jc w:val="left"/>
    </w:pPr>
    <w:rPr>
      <w:rFonts w:ascii="Times New Roman" w:eastAsia="仿宋"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535</Words>
  <Characters>3053</Characters>
  <Application>Microsoft Office Word</Application>
  <DocSecurity>0</DocSecurity>
  <Lines>25</Lines>
  <Paragraphs>7</Paragraphs>
  <ScaleCrop>false</ScaleCrop>
  <Company>Sky123.Org</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cp:lastModifiedBy>
  <cp:revision>4</cp:revision>
  <cp:lastPrinted>2019-07-08T10:47:00Z</cp:lastPrinted>
  <dcterms:created xsi:type="dcterms:W3CDTF">2018-04-11T02:20:00Z</dcterms:created>
  <dcterms:modified xsi:type="dcterms:W3CDTF">2019-07-08T10:47:00Z</dcterms:modified>
</cp:coreProperties>
</file>